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E" w:rsidRDefault="004157BE" w:rsidP="001345C9">
      <w:pPr>
        <w:pStyle w:val="NormalWeb"/>
        <w:spacing w:before="0" w:beforeAutospacing="0" w:after="120" w:afterAutospacing="0"/>
        <w:rPr>
          <w:rStyle w:val="Forte"/>
          <w:rFonts w:ascii="Calibri" w:hAnsi="Calibri" w:cs="Calibri"/>
          <w:i/>
          <w:sz w:val="22"/>
          <w:szCs w:val="22"/>
          <w:u w:val="single"/>
        </w:rPr>
      </w:pPr>
    </w:p>
    <w:p w:rsidR="0029349B" w:rsidRDefault="0029349B" w:rsidP="001345C9">
      <w:pPr>
        <w:pStyle w:val="NormalWeb"/>
        <w:spacing w:before="0" w:beforeAutospacing="0" w:after="120" w:afterAutospacing="0"/>
        <w:rPr>
          <w:rStyle w:val="Forte"/>
          <w:rFonts w:ascii="Calibri" w:hAnsi="Calibri" w:cs="Calibri"/>
          <w:i/>
          <w:sz w:val="22"/>
          <w:szCs w:val="22"/>
          <w:u w:val="single"/>
        </w:rPr>
      </w:pPr>
    </w:p>
    <w:p w:rsidR="0029349B" w:rsidRDefault="0029349B" w:rsidP="001345C9">
      <w:pPr>
        <w:pStyle w:val="NormalWeb"/>
        <w:spacing w:before="0" w:beforeAutospacing="0" w:after="120" w:afterAutospacing="0"/>
        <w:rPr>
          <w:rStyle w:val="Forte"/>
          <w:rFonts w:ascii="Calibri" w:hAnsi="Calibri" w:cs="Calibri"/>
          <w:i/>
          <w:sz w:val="22"/>
          <w:szCs w:val="22"/>
          <w:u w:val="single"/>
        </w:rPr>
      </w:pPr>
    </w:p>
    <w:p w:rsidR="0029349B" w:rsidRDefault="0029349B" w:rsidP="001345C9">
      <w:pPr>
        <w:pStyle w:val="NormalWeb"/>
        <w:spacing w:before="0" w:beforeAutospacing="0" w:after="120" w:afterAutospacing="0"/>
        <w:rPr>
          <w:rStyle w:val="Forte"/>
          <w:rFonts w:ascii="Calibri" w:hAnsi="Calibri" w:cs="Calibri"/>
          <w:i/>
          <w:sz w:val="22"/>
          <w:szCs w:val="22"/>
          <w:u w:val="single"/>
        </w:rPr>
      </w:pPr>
    </w:p>
    <w:p w:rsidR="001345C9" w:rsidRPr="004B4C04" w:rsidRDefault="001345C9" w:rsidP="001345C9">
      <w:pPr>
        <w:pStyle w:val="NormalWeb"/>
        <w:spacing w:before="0" w:beforeAutospacing="0" w:after="120" w:afterAutospacing="0"/>
        <w:rPr>
          <w:rFonts w:ascii="Calibri" w:hAnsi="Calibri" w:cs="Calibri"/>
          <w:i/>
          <w:sz w:val="22"/>
          <w:szCs w:val="22"/>
          <w:u w:val="single"/>
        </w:rPr>
      </w:pPr>
      <w:r w:rsidRPr="004B4C04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DECRETO MUNICIPAL </w:t>
      </w:r>
      <w:r w:rsidRPr="00E579F9">
        <w:rPr>
          <w:rStyle w:val="Forte"/>
          <w:rFonts w:ascii="Calibri" w:hAnsi="Calibri" w:cs="Calibri"/>
          <w:i/>
          <w:sz w:val="22"/>
          <w:szCs w:val="22"/>
          <w:u w:val="single"/>
        </w:rPr>
        <w:t>N°</w:t>
      </w:r>
      <w:r w:rsidR="00E579F9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 872</w:t>
      </w:r>
      <w:r w:rsidRPr="004B4C04">
        <w:rPr>
          <w:rStyle w:val="Forte"/>
          <w:rFonts w:ascii="Calibri" w:hAnsi="Calibri" w:cs="Calibri"/>
          <w:i/>
          <w:sz w:val="22"/>
          <w:szCs w:val="22"/>
          <w:u w:val="single"/>
        </w:rPr>
        <w:t>/201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8</w:t>
      </w:r>
      <w:r w:rsidRPr="004B4C04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, DE </w:t>
      </w:r>
      <w:r w:rsidRPr="00E579F9">
        <w:rPr>
          <w:rStyle w:val="Forte"/>
          <w:rFonts w:ascii="Calibri" w:hAnsi="Calibri" w:cs="Calibri"/>
          <w:i/>
          <w:sz w:val="22"/>
          <w:szCs w:val="22"/>
          <w:u w:val="single"/>
        </w:rPr>
        <w:t>26 DE JANEIRO</w:t>
      </w:r>
      <w:r w:rsidRPr="004B4C04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 DE 201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8.</w:t>
      </w:r>
    </w:p>
    <w:p w:rsidR="001345C9" w:rsidRPr="00570191" w:rsidRDefault="001345C9" w:rsidP="001345C9">
      <w:pPr>
        <w:pStyle w:val="NormalWeb"/>
        <w:spacing w:before="0" w:beforeAutospacing="0" w:after="120" w:afterAutospacing="0"/>
        <w:ind w:left="3402"/>
        <w:jc w:val="both"/>
        <w:rPr>
          <w:rStyle w:val="Forte"/>
          <w:rFonts w:ascii="Calibri" w:hAnsi="Calibri" w:cs="Calibri"/>
          <w:i/>
          <w:sz w:val="22"/>
          <w:szCs w:val="22"/>
        </w:rPr>
      </w:pPr>
    </w:p>
    <w:p w:rsidR="004157BE" w:rsidRDefault="004157BE" w:rsidP="001345C9">
      <w:pPr>
        <w:pStyle w:val="NormalWeb"/>
        <w:shd w:val="clear" w:color="auto" w:fill="FFFFFF" w:themeFill="background1"/>
        <w:ind w:left="4678"/>
        <w:jc w:val="both"/>
        <w:rPr>
          <w:rFonts w:asciiTheme="minorHAnsi" w:hAnsiTheme="minorHAnsi"/>
          <w:i/>
          <w:color w:val="2E2E2E"/>
          <w:sz w:val="22"/>
          <w:szCs w:val="22"/>
        </w:rPr>
      </w:pPr>
    </w:p>
    <w:p w:rsidR="001345C9" w:rsidRPr="001345C9" w:rsidRDefault="001345C9" w:rsidP="001345C9">
      <w:pPr>
        <w:pStyle w:val="NormalWeb"/>
        <w:shd w:val="clear" w:color="auto" w:fill="FFFFFF" w:themeFill="background1"/>
        <w:ind w:left="4678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i/>
          <w:color w:val="2E2E2E"/>
          <w:sz w:val="22"/>
          <w:szCs w:val="22"/>
        </w:rPr>
        <w:t>AUTORIZA O PROTESTO EXTRAJUDICIAL DE CERTIDÃO DE DÍVIDA ATIVA (CDA) DE CRÉDITOS TRIBUTÁRIOS E NÃO TRIBUTÁRIO DO MUNICÍPIO.</w:t>
      </w:r>
    </w:p>
    <w:p w:rsidR="001345C9" w:rsidRDefault="001345C9" w:rsidP="001345C9">
      <w:pPr>
        <w:pStyle w:val="NormalWeb"/>
        <w:spacing w:before="0" w:beforeAutospacing="0" w:after="120" w:afterAutospacing="0"/>
        <w:jc w:val="both"/>
        <w:rPr>
          <w:rStyle w:val="Forte"/>
          <w:rFonts w:ascii="Calibri" w:hAnsi="Calibri" w:cs="Calibri"/>
          <w:i/>
          <w:sz w:val="22"/>
          <w:szCs w:val="22"/>
        </w:rPr>
      </w:pPr>
    </w:p>
    <w:p w:rsidR="004157BE" w:rsidRDefault="004157BE" w:rsidP="001345C9">
      <w:pPr>
        <w:pStyle w:val="NormalWeb"/>
        <w:spacing w:before="0" w:beforeAutospacing="0" w:after="120" w:afterAutospacing="0"/>
        <w:jc w:val="both"/>
        <w:rPr>
          <w:rStyle w:val="Forte"/>
          <w:rFonts w:ascii="Calibri" w:hAnsi="Calibri" w:cs="Calibri"/>
          <w:i/>
          <w:sz w:val="22"/>
          <w:szCs w:val="22"/>
        </w:rPr>
      </w:pPr>
    </w:p>
    <w:p w:rsidR="004157BE" w:rsidRPr="00570191" w:rsidRDefault="004157BE" w:rsidP="001345C9">
      <w:pPr>
        <w:pStyle w:val="NormalWeb"/>
        <w:spacing w:before="0" w:beforeAutospacing="0" w:after="120" w:afterAutospacing="0"/>
        <w:jc w:val="both"/>
        <w:rPr>
          <w:rStyle w:val="Forte"/>
          <w:rFonts w:ascii="Calibri" w:hAnsi="Calibri" w:cs="Calibri"/>
          <w:i/>
          <w:sz w:val="22"/>
          <w:szCs w:val="22"/>
        </w:rPr>
      </w:pP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Style w:val="Forte"/>
          <w:rFonts w:ascii="Calibri" w:hAnsi="Calibri" w:cs="Calibri"/>
          <w:i/>
          <w:sz w:val="22"/>
          <w:szCs w:val="22"/>
        </w:rPr>
        <w:t>A PREFEITA MUNICIPAL DE VARGEM/SC</w:t>
      </w:r>
      <w:r w:rsidRPr="001345C9">
        <w:rPr>
          <w:rFonts w:ascii="Calibri" w:hAnsi="Calibri" w:cs="Calibri"/>
          <w:b/>
          <w:i/>
          <w:sz w:val="22"/>
          <w:szCs w:val="22"/>
        </w:rPr>
        <w:t xml:space="preserve">, EXMA SRA. </w:t>
      </w:r>
      <w:r w:rsidRPr="001345C9">
        <w:rPr>
          <w:rStyle w:val="Forte"/>
          <w:rFonts w:ascii="Calibri" w:hAnsi="Calibri" w:cs="Calibri"/>
          <w:i/>
          <w:sz w:val="22"/>
          <w:szCs w:val="22"/>
        </w:rPr>
        <w:t xml:space="preserve">MILENA ANDERSEN LOPES </w:t>
      </w:r>
      <w:r w:rsidRPr="001345C9">
        <w:rPr>
          <w:rStyle w:val="Forte"/>
          <w:rFonts w:ascii="Calibri" w:hAnsi="Calibri" w:cs="Calibri"/>
          <w:i/>
          <w:iCs/>
          <w:sz w:val="22"/>
          <w:szCs w:val="22"/>
        </w:rPr>
        <w:t>BECHER</w:t>
      </w:r>
      <w:r w:rsidRPr="001345C9">
        <w:rPr>
          <w:rStyle w:val="Forte"/>
          <w:rFonts w:ascii="Calibri" w:hAnsi="Calibri" w:cs="Calibri"/>
          <w:i/>
          <w:sz w:val="22"/>
          <w:szCs w:val="22"/>
        </w:rPr>
        <w:t xml:space="preserve">, </w:t>
      </w:r>
      <w:r w:rsidRPr="001345C9">
        <w:rPr>
          <w:rFonts w:ascii="Calibri" w:hAnsi="Calibri" w:cs="Calibri"/>
          <w:i/>
          <w:sz w:val="22"/>
          <w:szCs w:val="22"/>
        </w:rPr>
        <w:t xml:space="preserve">no uso de suas atribuições e com fundamento no que dispõe </w:t>
      </w:r>
      <w:r w:rsidR="001E111E">
        <w:rPr>
          <w:rFonts w:ascii="Calibri" w:hAnsi="Calibri" w:cs="Calibri"/>
          <w:i/>
          <w:sz w:val="22"/>
          <w:szCs w:val="22"/>
        </w:rPr>
        <w:t>o artigo 100, inciso VIII d</w:t>
      </w:r>
      <w:r w:rsidRPr="001345C9">
        <w:rPr>
          <w:rFonts w:ascii="Calibri" w:hAnsi="Calibri" w:cs="Calibri"/>
          <w:i/>
          <w:sz w:val="22"/>
          <w:szCs w:val="22"/>
        </w:rPr>
        <w:t xml:space="preserve">a </w:t>
      </w:r>
      <w:r w:rsidRPr="001E111E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>Lei Orgânica do Município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e considerando a disposição contida no parágrafo único do artigo 1º, da Lei Federal 9.492/97, com a redação dada pela Lei Federal nº 12.767/2012,</w:t>
      </w:r>
    </w:p>
    <w:p w:rsidR="001345C9" w:rsidRPr="00F56C43" w:rsidRDefault="001345C9" w:rsidP="001345C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</w:p>
    <w:p w:rsidR="001345C9" w:rsidRPr="00570191" w:rsidRDefault="001345C9" w:rsidP="001345C9">
      <w:pPr>
        <w:pStyle w:val="NormalWeb"/>
        <w:spacing w:before="0" w:beforeAutospacing="0" w:after="120" w:afterAutospacing="0"/>
        <w:jc w:val="center"/>
        <w:rPr>
          <w:rStyle w:val="Forte"/>
          <w:rFonts w:ascii="Calibri" w:hAnsi="Calibri" w:cs="Calibri"/>
          <w:i/>
          <w:sz w:val="22"/>
          <w:szCs w:val="22"/>
        </w:rPr>
      </w:pPr>
      <w:r w:rsidRPr="00570191">
        <w:rPr>
          <w:rStyle w:val="Forte"/>
          <w:rFonts w:ascii="Calibri" w:hAnsi="Calibri" w:cs="Calibri"/>
          <w:i/>
          <w:sz w:val="22"/>
          <w:szCs w:val="22"/>
        </w:rPr>
        <w:t>DECRETA: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1º.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Fica autorizada a Procuradoria Geral do Município a promover o protesto extrajudicial de Certidão de Dívida Ativa (CDA) por créditos tributários ou não do Município, sem prejuízo do oportuno ajuizamento do processo de execução.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Parágrafo único.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As </w:t>
      </w:r>
      <w:proofErr w:type="spellStart"/>
      <w:proofErr w:type="gramStart"/>
      <w:r w:rsidRPr="001345C9">
        <w:rPr>
          <w:rFonts w:asciiTheme="minorHAnsi" w:hAnsiTheme="minorHAnsi"/>
          <w:i/>
          <w:color w:val="2E2E2E"/>
          <w:sz w:val="22"/>
          <w:szCs w:val="22"/>
        </w:rPr>
        <w:t>CDA´</w:t>
      </w:r>
      <w:proofErr w:type="spellEnd"/>
      <w:proofErr w:type="gramEnd"/>
      <w:r w:rsidRPr="001345C9">
        <w:rPr>
          <w:rFonts w:asciiTheme="minorHAnsi" w:hAnsiTheme="minorHAnsi"/>
          <w:i/>
          <w:color w:val="2E2E2E"/>
          <w:sz w:val="22"/>
          <w:szCs w:val="22"/>
        </w:rPr>
        <w:t>s cuja cobrança já tenha sido ajuizada poderão, igualmente, ser levadas a protesto extrajudicial.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2º.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O Encaminhamento das </w:t>
      </w:r>
      <w:proofErr w:type="spellStart"/>
      <w:proofErr w:type="gramStart"/>
      <w:r w:rsidRPr="001345C9">
        <w:rPr>
          <w:rFonts w:asciiTheme="minorHAnsi" w:hAnsiTheme="minorHAnsi"/>
          <w:i/>
          <w:color w:val="2E2E2E"/>
          <w:sz w:val="22"/>
          <w:szCs w:val="22"/>
        </w:rPr>
        <w:t>CDA´</w:t>
      </w:r>
      <w:proofErr w:type="spellEnd"/>
      <w:proofErr w:type="gramEnd"/>
      <w:r w:rsidRPr="001345C9">
        <w:rPr>
          <w:rFonts w:asciiTheme="minorHAnsi" w:hAnsiTheme="minorHAnsi"/>
          <w:i/>
          <w:color w:val="2E2E2E"/>
          <w:sz w:val="22"/>
          <w:szCs w:val="22"/>
        </w:rPr>
        <w:t>s para distribuição aos Tabelionatos de Protesto dar-se-á por meio eletrônico e em lotes quinzenais.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3º.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O apontamento da CDA ou a extração do protesto não obstam o parcelamento administrativo do crédito.</w:t>
      </w:r>
    </w:p>
    <w:p w:rsid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4º.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O parcelamento requerido e devidamente deferido que importe na suspensão da exigibilidade do crédito tributário autorizará o Tabelionato a sustar a extração do protesto, </w:t>
      </w:r>
      <w:proofErr w:type="gramStart"/>
      <w:r w:rsidRPr="001345C9">
        <w:rPr>
          <w:rFonts w:asciiTheme="minorHAnsi" w:hAnsiTheme="minorHAnsi"/>
          <w:i/>
          <w:color w:val="2E2E2E"/>
          <w:sz w:val="22"/>
          <w:szCs w:val="22"/>
        </w:rPr>
        <w:t>após</w:t>
      </w:r>
      <w:proofErr w:type="gramEnd"/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pagos pelo devedor os emolumentos e demais despesas.</w:t>
      </w:r>
    </w:p>
    <w:p w:rsidR="0029349B" w:rsidRDefault="0029349B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</w:p>
    <w:p w:rsidR="0029349B" w:rsidRPr="001345C9" w:rsidRDefault="0029349B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</w:p>
    <w:p w:rsidR="0029349B" w:rsidRDefault="0029349B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b/>
          <w:i/>
          <w:color w:val="2E2E2E"/>
          <w:sz w:val="22"/>
          <w:szCs w:val="22"/>
        </w:rPr>
      </w:pPr>
    </w:p>
    <w:p w:rsidR="0029349B" w:rsidRDefault="0029349B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b/>
          <w:i/>
          <w:color w:val="2E2E2E"/>
          <w:sz w:val="22"/>
          <w:szCs w:val="22"/>
        </w:rPr>
      </w:pPr>
    </w:p>
    <w:p w:rsidR="0029349B" w:rsidRDefault="0029349B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b/>
          <w:i/>
          <w:color w:val="2E2E2E"/>
          <w:sz w:val="22"/>
          <w:szCs w:val="22"/>
        </w:rPr>
      </w:pPr>
    </w:p>
    <w:p w:rsidR="0029349B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5º.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O parcelamento requerido e deferido após a lavratura do protesto também deverá ser formalizado em termo próprio, que acompanhado do termo extraído, autorizará o Tabelionato a cancelar o protesto, </w:t>
      </w:r>
      <w:proofErr w:type="gramStart"/>
      <w:r w:rsidRPr="001345C9">
        <w:rPr>
          <w:rFonts w:asciiTheme="minorHAnsi" w:hAnsiTheme="minorHAnsi"/>
          <w:i/>
          <w:color w:val="2E2E2E"/>
          <w:sz w:val="22"/>
          <w:szCs w:val="22"/>
        </w:rPr>
        <w:t>após</w:t>
      </w:r>
      <w:proofErr w:type="gramEnd"/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pagos pelo devedor os emolumentos e demais despesas.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6º.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Verificado o inadimplemento de parcelament</w:t>
      </w:r>
      <w:r w:rsidR="004157BE">
        <w:rPr>
          <w:rFonts w:asciiTheme="minorHAnsi" w:hAnsiTheme="minorHAnsi"/>
          <w:i/>
          <w:color w:val="2E2E2E"/>
          <w:sz w:val="22"/>
          <w:szCs w:val="22"/>
        </w:rPr>
        <w:t xml:space="preserve">o administrativo ou judicial, o Setor de Tributos 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>deverá expedir a CDA pelo saldo atualizado do crédito e promover o seu protesto.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7º.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No caso de pagamento administrativo ou judicial após a lavratura do protesto, </w:t>
      </w:r>
      <w:r w:rsidR="004157BE">
        <w:rPr>
          <w:rFonts w:asciiTheme="minorHAnsi" w:hAnsiTheme="minorHAnsi"/>
          <w:i/>
          <w:color w:val="2E2E2E"/>
          <w:sz w:val="22"/>
          <w:szCs w:val="22"/>
        </w:rPr>
        <w:t>o Setor de Tributos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emitirá autorização que, acompanhada  do instrumento extraído, autorizará o Tabelionato a cancelar o protesto, </w:t>
      </w:r>
      <w:proofErr w:type="gramStart"/>
      <w:r w:rsidRPr="001345C9">
        <w:rPr>
          <w:rFonts w:asciiTheme="minorHAnsi" w:hAnsiTheme="minorHAnsi"/>
          <w:i/>
          <w:color w:val="2E2E2E"/>
          <w:sz w:val="22"/>
          <w:szCs w:val="22"/>
        </w:rPr>
        <w:t>após</w:t>
      </w:r>
      <w:proofErr w:type="gramEnd"/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pagos pelo devedor os emolumentos e demais despesas.</w:t>
      </w:r>
    </w:p>
    <w:p w:rsidR="001345C9" w:rsidRPr="001345C9" w:rsidRDefault="001345C9" w:rsidP="001345C9">
      <w:pPr>
        <w:pStyle w:val="NormalWeb"/>
        <w:shd w:val="clear" w:color="auto" w:fill="FFFFFF" w:themeFill="background1"/>
        <w:jc w:val="both"/>
        <w:rPr>
          <w:rFonts w:asciiTheme="minorHAnsi" w:hAnsiTheme="minorHAnsi"/>
          <w:i/>
          <w:color w:val="2E2E2E"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8º.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As disposições deste Decreto são extensíveis aos créditos das autarquias e fundações públicas municipais.</w:t>
      </w:r>
    </w:p>
    <w:p w:rsidR="001345C9" w:rsidRPr="00570191" w:rsidRDefault="001345C9" w:rsidP="004157BE">
      <w:pPr>
        <w:pStyle w:val="NormalWeb"/>
        <w:shd w:val="clear" w:color="auto" w:fill="FFFFFF" w:themeFill="background1"/>
        <w:jc w:val="both"/>
        <w:rPr>
          <w:rFonts w:ascii="Calibri" w:hAnsi="Calibri" w:cs="Calibri"/>
          <w:i/>
          <w:sz w:val="22"/>
          <w:szCs w:val="22"/>
        </w:rPr>
      </w:pPr>
      <w:r w:rsidRPr="001345C9">
        <w:rPr>
          <w:rFonts w:asciiTheme="minorHAnsi" w:hAnsiTheme="minorHAnsi"/>
          <w:b/>
          <w:i/>
          <w:color w:val="2E2E2E"/>
          <w:sz w:val="22"/>
          <w:szCs w:val="22"/>
        </w:rPr>
        <w:t>Art. 9º.</w:t>
      </w:r>
      <w:r w:rsidRPr="001345C9">
        <w:rPr>
          <w:rFonts w:asciiTheme="minorHAnsi" w:hAnsiTheme="minorHAnsi"/>
          <w:i/>
          <w:color w:val="2E2E2E"/>
          <w:sz w:val="22"/>
          <w:szCs w:val="22"/>
        </w:rPr>
        <w:t xml:space="preserve"> Este </w:t>
      </w:r>
      <w:r w:rsidRPr="00570191">
        <w:rPr>
          <w:rFonts w:ascii="Calibri" w:hAnsi="Calibri" w:cs="Calibri"/>
          <w:i/>
          <w:sz w:val="22"/>
          <w:szCs w:val="22"/>
        </w:rPr>
        <w:t>Decreto entra em vigor na data de sua publicação.</w:t>
      </w:r>
    </w:p>
    <w:p w:rsidR="001345C9" w:rsidRPr="00570191" w:rsidRDefault="001345C9" w:rsidP="001345C9">
      <w:pPr>
        <w:pStyle w:val="A171072"/>
        <w:rPr>
          <w:rFonts w:ascii="Calibri" w:hAnsi="Calibri" w:cs="Calibri"/>
          <w:i/>
          <w:sz w:val="22"/>
          <w:szCs w:val="22"/>
        </w:rPr>
      </w:pPr>
    </w:p>
    <w:p w:rsidR="001345C9" w:rsidRPr="00F56C43" w:rsidRDefault="001345C9" w:rsidP="001345C9">
      <w:pPr>
        <w:pStyle w:val="A231072"/>
        <w:ind w:left="2835" w:hanging="2835"/>
        <w:jc w:val="center"/>
        <w:rPr>
          <w:rFonts w:ascii="Calibri" w:hAnsi="Calibri" w:cs="Calibri"/>
          <w:b/>
          <w:i/>
          <w:sz w:val="22"/>
          <w:szCs w:val="22"/>
        </w:rPr>
      </w:pPr>
      <w:r w:rsidRPr="00F56C43">
        <w:rPr>
          <w:rFonts w:ascii="Calibri" w:hAnsi="Calibri" w:cs="Calibri"/>
          <w:b/>
          <w:i/>
          <w:sz w:val="22"/>
          <w:szCs w:val="22"/>
        </w:rPr>
        <w:t xml:space="preserve">Prefeitura Municipal de Vargem/SC, em </w:t>
      </w:r>
      <w:r w:rsidR="004157BE" w:rsidRPr="00E579F9">
        <w:rPr>
          <w:rFonts w:ascii="Calibri" w:hAnsi="Calibri" w:cs="Calibri"/>
          <w:b/>
          <w:i/>
          <w:sz w:val="22"/>
          <w:szCs w:val="22"/>
        </w:rPr>
        <w:t>26</w:t>
      </w:r>
      <w:r w:rsidRPr="00E579F9">
        <w:rPr>
          <w:rFonts w:ascii="Calibri" w:hAnsi="Calibri" w:cs="Calibri"/>
          <w:b/>
          <w:i/>
          <w:sz w:val="22"/>
          <w:szCs w:val="22"/>
        </w:rPr>
        <w:t xml:space="preserve"> de janeiro</w:t>
      </w:r>
      <w:r w:rsidRPr="00F56C43">
        <w:rPr>
          <w:rFonts w:ascii="Calibri" w:hAnsi="Calibri" w:cs="Calibri"/>
          <w:b/>
          <w:i/>
          <w:sz w:val="22"/>
          <w:szCs w:val="22"/>
        </w:rPr>
        <w:t xml:space="preserve"> de 201</w:t>
      </w:r>
      <w:r w:rsidR="004157BE">
        <w:rPr>
          <w:rFonts w:ascii="Calibri" w:hAnsi="Calibri" w:cs="Calibri"/>
          <w:b/>
          <w:i/>
          <w:sz w:val="22"/>
          <w:szCs w:val="22"/>
        </w:rPr>
        <w:t>8</w:t>
      </w:r>
      <w:r w:rsidRPr="00F56C43">
        <w:rPr>
          <w:rFonts w:ascii="Calibri" w:hAnsi="Calibri" w:cs="Calibri"/>
          <w:b/>
          <w:i/>
          <w:sz w:val="22"/>
          <w:szCs w:val="22"/>
        </w:rPr>
        <w:t>.</w:t>
      </w:r>
    </w:p>
    <w:p w:rsidR="001345C9" w:rsidRPr="00F56C43" w:rsidRDefault="001345C9" w:rsidP="001345C9">
      <w:pPr>
        <w:pStyle w:val="A231072"/>
        <w:rPr>
          <w:rFonts w:ascii="Calibri" w:hAnsi="Calibri" w:cs="Calibri"/>
          <w:i/>
          <w:sz w:val="22"/>
          <w:szCs w:val="22"/>
        </w:rPr>
      </w:pPr>
    </w:p>
    <w:p w:rsidR="001345C9" w:rsidRPr="00F56C43" w:rsidRDefault="001345C9" w:rsidP="001345C9">
      <w:pPr>
        <w:pStyle w:val="A231072"/>
        <w:rPr>
          <w:rFonts w:ascii="Calibri" w:hAnsi="Calibri" w:cs="Calibri"/>
          <w:i/>
          <w:sz w:val="22"/>
          <w:szCs w:val="22"/>
        </w:rPr>
      </w:pPr>
    </w:p>
    <w:p w:rsidR="001345C9" w:rsidRPr="004452EC" w:rsidRDefault="001345C9" w:rsidP="001345C9">
      <w:pPr>
        <w:jc w:val="center"/>
        <w:rPr>
          <w:rFonts w:ascii="Calibri" w:eastAsia="Times New Roman" w:hAnsi="Calibri" w:cs="Calibri"/>
          <w:b/>
          <w:bCs/>
          <w:i/>
        </w:rPr>
      </w:pPr>
      <w:r w:rsidRPr="004452EC">
        <w:rPr>
          <w:rFonts w:ascii="Calibri" w:eastAsia="Times New Roman" w:hAnsi="Calibri" w:cs="Calibri"/>
          <w:b/>
          <w:bCs/>
          <w:i/>
          <w:iCs/>
        </w:rPr>
        <w:t>Milena</w:t>
      </w:r>
      <w:r w:rsidRPr="004452EC">
        <w:rPr>
          <w:rFonts w:ascii="Calibri" w:eastAsia="Times New Roman" w:hAnsi="Calibri" w:cs="Calibri"/>
          <w:b/>
          <w:bCs/>
          <w:i/>
        </w:rPr>
        <w:t xml:space="preserve"> Andersen Lopes </w:t>
      </w:r>
      <w:r w:rsidRPr="004452EC">
        <w:rPr>
          <w:rFonts w:ascii="Calibri" w:eastAsia="Times New Roman" w:hAnsi="Calibri" w:cs="Calibri"/>
          <w:b/>
          <w:bCs/>
          <w:i/>
          <w:iCs/>
        </w:rPr>
        <w:t>Becher</w:t>
      </w:r>
      <w:r w:rsidRPr="004452EC">
        <w:rPr>
          <w:rFonts w:ascii="Calibri" w:eastAsia="Times New Roman" w:hAnsi="Calibri" w:cs="Calibri"/>
          <w:b/>
          <w:bCs/>
          <w:i/>
        </w:rPr>
        <w:t>,</w:t>
      </w:r>
    </w:p>
    <w:p w:rsidR="001345C9" w:rsidRPr="00F56C43" w:rsidRDefault="001345C9" w:rsidP="001345C9">
      <w:pPr>
        <w:jc w:val="center"/>
        <w:rPr>
          <w:rFonts w:ascii="Calibri" w:eastAsia="Times New Roman" w:hAnsi="Calibri" w:cs="Calibri"/>
          <w:b/>
          <w:bCs/>
          <w:i/>
        </w:rPr>
      </w:pPr>
      <w:r w:rsidRPr="00F56C43">
        <w:rPr>
          <w:rFonts w:ascii="Calibri" w:eastAsia="Times New Roman" w:hAnsi="Calibri" w:cs="Calibri"/>
          <w:b/>
          <w:bCs/>
          <w:i/>
        </w:rPr>
        <w:t>Prefeit</w:t>
      </w:r>
      <w:r>
        <w:rPr>
          <w:rFonts w:ascii="Calibri" w:eastAsia="Times New Roman" w:hAnsi="Calibri" w:cs="Calibri"/>
          <w:b/>
          <w:bCs/>
          <w:i/>
        </w:rPr>
        <w:t>a</w:t>
      </w:r>
      <w:r w:rsidRPr="00F56C43">
        <w:rPr>
          <w:rFonts w:ascii="Calibri" w:eastAsia="Times New Roman" w:hAnsi="Calibri" w:cs="Calibri"/>
          <w:b/>
          <w:bCs/>
          <w:i/>
        </w:rPr>
        <w:t xml:space="preserve"> Municipal.</w:t>
      </w:r>
    </w:p>
    <w:p w:rsidR="001345C9" w:rsidRDefault="001345C9" w:rsidP="001345C9">
      <w:pPr>
        <w:rPr>
          <w:rFonts w:ascii="Calibri" w:eastAsia="Times New Roman" w:hAnsi="Calibri" w:cs="Calibri"/>
          <w:i/>
          <w:sz w:val="20"/>
        </w:rPr>
      </w:pPr>
    </w:p>
    <w:p w:rsidR="001345C9" w:rsidRDefault="001345C9" w:rsidP="001345C9">
      <w:pPr>
        <w:rPr>
          <w:rFonts w:ascii="Calibri" w:eastAsia="Times New Roman" w:hAnsi="Calibri" w:cs="Calibri"/>
          <w:i/>
          <w:sz w:val="20"/>
        </w:rPr>
      </w:pPr>
    </w:p>
    <w:p w:rsidR="00E579F9" w:rsidRDefault="001345C9" w:rsidP="001345C9">
      <w:pPr>
        <w:rPr>
          <w:rFonts w:ascii="Calibri" w:eastAsia="Times New Roman" w:hAnsi="Calibri" w:cs="Calibri"/>
          <w:i/>
          <w:sz w:val="20"/>
        </w:rPr>
      </w:pPr>
      <w:r w:rsidRPr="00F56C43">
        <w:rPr>
          <w:rFonts w:ascii="Calibri" w:eastAsia="Times New Roman" w:hAnsi="Calibri" w:cs="Calibri"/>
          <w:i/>
          <w:sz w:val="20"/>
        </w:rPr>
        <w:t xml:space="preserve">Registrado </w:t>
      </w:r>
      <w:r>
        <w:rPr>
          <w:rFonts w:ascii="Calibri" w:eastAsia="Times New Roman" w:hAnsi="Calibri" w:cs="Calibri"/>
          <w:i/>
          <w:sz w:val="20"/>
        </w:rPr>
        <w:t>e publicado o presente Decreto</w:t>
      </w:r>
      <w:r w:rsidR="004157BE">
        <w:rPr>
          <w:rFonts w:ascii="Calibri" w:eastAsia="Times New Roman" w:hAnsi="Calibri" w:cs="Calibri"/>
          <w:i/>
          <w:sz w:val="20"/>
        </w:rPr>
        <w:t xml:space="preserve"> </w:t>
      </w:r>
      <w:r w:rsidRPr="00F56C43">
        <w:rPr>
          <w:rFonts w:ascii="Calibri" w:eastAsia="Times New Roman" w:hAnsi="Calibri" w:cs="Calibri"/>
          <w:i/>
          <w:sz w:val="20"/>
        </w:rPr>
        <w:t>no</w:t>
      </w:r>
    </w:p>
    <w:p w:rsidR="001345C9" w:rsidRPr="00F56C43" w:rsidRDefault="001345C9" w:rsidP="001345C9">
      <w:pPr>
        <w:rPr>
          <w:rFonts w:ascii="Calibri" w:eastAsia="Times New Roman" w:hAnsi="Calibri" w:cs="Calibri"/>
          <w:i/>
          <w:sz w:val="20"/>
        </w:rPr>
      </w:pPr>
      <w:r w:rsidRPr="00F56C43">
        <w:rPr>
          <w:rFonts w:ascii="Calibri" w:eastAsia="Times New Roman" w:hAnsi="Calibri" w:cs="Calibri"/>
          <w:i/>
          <w:sz w:val="20"/>
        </w:rPr>
        <w:t xml:space="preserve"> átrio da Prefeitura Municipal na data supra</w:t>
      </w:r>
      <w:r w:rsidR="004157BE">
        <w:rPr>
          <w:rFonts w:ascii="Calibri" w:eastAsia="Times New Roman" w:hAnsi="Calibri" w:cs="Calibri"/>
          <w:i/>
          <w:sz w:val="20"/>
        </w:rPr>
        <w:t>.</w:t>
      </w:r>
    </w:p>
    <w:p w:rsidR="001345C9" w:rsidRPr="00F56C43" w:rsidRDefault="001345C9" w:rsidP="001345C9">
      <w:pPr>
        <w:rPr>
          <w:rFonts w:ascii="Calibri" w:eastAsia="Times New Roman" w:hAnsi="Calibri" w:cs="Calibri"/>
          <w:i/>
          <w:sz w:val="20"/>
        </w:rPr>
      </w:pPr>
    </w:p>
    <w:p w:rsidR="001345C9" w:rsidRPr="00586634" w:rsidRDefault="001345C9" w:rsidP="00E579F9">
      <w:pPr>
        <w:rPr>
          <w:rFonts w:ascii="Calibri" w:eastAsia="Times New Roman" w:hAnsi="Calibri" w:cs="Calibri"/>
          <w:i/>
          <w:sz w:val="20"/>
        </w:rPr>
      </w:pPr>
      <w:proofErr w:type="spellStart"/>
      <w:r w:rsidRPr="00586634">
        <w:rPr>
          <w:rFonts w:ascii="Calibri" w:eastAsia="Times New Roman" w:hAnsi="Calibri" w:cs="Calibri"/>
          <w:i/>
          <w:sz w:val="20"/>
        </w:rPr>
        <w:t>D</w:t>
      </w:r>
      <w:r w:rsidR="004157BE">
        <w:rPr>
          <w:rFonts w:ascii="Calibri" w:eastAsia="Times New Roman" w:hAnsi="Calibri" w:cs="Calibri"/>
          <w:i/>
          <w:sz w:val="20"/>
        </w:rPr>
        <w:t>anielly</w:t>
      </w:r>
      <w:proofErr w:type="spellEnd"/>
      <w:r w:rsidR="004157BE">
        <w:rPr>
          <w:rFonts w:ascii="Calibri" w:eastAsia="Times New Roman" w:hAnsi="Calibri" w:cs="Calibri"/>
          <w:i/>
          <w:sz w:val="20"/>
        </w:rPr>
        <w:t xml:space="preserve"> </w:t>
      </w:r>
      <w:proofErr w:type="spellStart"/>
      <w:r w:rsidR="004157BE">
        <w:rPr>
          <w:rFonts w:ascii="Calibri" w:eastAsia="Times New Roman" w:hAnsi="Calibri" w:cs="Calibri"/>
          <w:i/>
          <w:sz w:val="20"/>
        </w:rPr>
        <w:t>Cavally</w:t>
      </w:r>
      <w:proofErr w:type="spellEnd"/>
    </w:p>
    <w:p w:rsidR="001345C9" w:rsidRPr="00F64E2D" w:rsidRDefault="001345C9" w:rsidP="00E579F9">
      <w:pPr>
        <w:rPr>
          <w:rFonts w:ascii="Calibri" w:eastAsia="Times New Roman" w:hAnsi="Calibri" w:cs="Calibri"/>
          <w:i/>
          <w:sz w:val="20"/>
        </w:rPr>
      </w:pPr>
      <w:r w:rsidRPr="00F64E2D">
        <w:rPr>
          <w:rFonts w:ascii="Calibri" w:eastAsia="Times New Roman" w:hAnsi="Calibri" w:cs="Calibri"/>
          <w:i/>
          <w:sz w:val="20"/>
        </w:rPr>
        <w:t>Secretári</w:t>
      </w:r>
      <w:r w:rsidR="004157BE">
        <w:rPr>
          <w:rFonts w:ascii="Calibri" w:eastAsia="Times New Roman" w:hAnsi="Calibri" w:cs="Calibri"/>
          <w:i/>
          <w:sz w:val="20"/>
        </w:rPr>
        <w:t>a</w:t>
      </w:r>
      <w:r w:rsidRPr="00F64E2D">
        <w:rPr>
          <w:rFonts w:ascii="Calibri" w:eastAsia="Times New Roman" w:hAnsi="Calibri" w:cs="Calibri"/>
          <w:i/>
          <w:sz w:val="20"/>
        </w:rPr>
        <w:t xml:space="preserve"> Municipal de Administração e Finanças.</w:t>
      </w:r>
    </w:p>
    <w:p w:rsidR="00033963" w:rsidRDefault="00033963"/>
    <w:sectPr w:rsidR="00033963" w:rsidSect="004E1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03D2"/>
    <w:rsid w:val="00033963"/>
    <w:rsid w:val="001345C9"/>
    <w:rsid w:val="001D334C"/>
    <w:rsid w:val="001E111E"/>
    <w:rsid w:val="0029349B"/>
    <w:rsid w:val="00311D22"/>
    <w:rsid w:val="004157BE"/>
    <w:rsid w:val="00483CBC"/>
    <w:rsid w:val="004E1D7D"/>
    <w:rsid w:val="00B40334"/>
    <w:rsid w:val="00E403D2"/>
    <w:rsid w:val="00E579F9"/>
    <w:rsid w:val="00E6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E403D2"/>
    <w:rPr>
      <w:b/>
      <w:bCs/>
    </w:rPr>
  </w:style>
  <w:style w:type="paragraph" w:customStyle="1" w:styleId="A231072">
    <w:name w:val="_A231072"/>
    <w:basedOn w:val="Normal"/>
    <w:rsid w:val="001345C9"/>
    <w:pPr>
      <w:spacing w:after="0" w:line="240" w:lineRule="auto"/>
      <w:ind w:left="1296" w:firstLine="31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71072">
    <w:name w:val="_A171072"/>
    <w:basedOn w:val="Normal"/>
    <w:rsid w:val="001345C9"/>
    <w:pPr>
      <w:spacing w:after="0" w:line="240" w:lineRule="auto"/>
      <w:ind w:left="1296" w:firstLine="23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1172">
    <w:name w:val="_A251172"/>
    <w:basedOn w:val="Normal"/>
    <w:rsid w:val="001345C9"/>
    <w:pPr>
      <w:spacing w:after="0" w:line="240" w:lineRule="auto"/>
      <w:ind w:left="1440" w:firstLine="345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Diego</cp:lastModifiedBy>
  <cp:revision>3</cp:revision>
  <cp:lastPrinted>2018-01-30T18:14:00Z</cp:lastPrinted>
  <dcterms:created xsi:type="dcterms:W3CDTF">2018-01-30T18:12:00Z</dcterms:created>
  <dcterms:modified xsi:type="dcterms:W3CDTF">2018-01-30T18:15:00Z</dcterms:modified>
</cp:coreProperties>
</file>