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C33" w:rsidRPr="00126159" w:rsidRDefault="008B455E" w:rsidP="002551C3">
      <w:pPr>
        <w:spacing w:after="0"/>
        <w:jc w:val="both"/>
        <w:rPr>
          <w:rFonts w:ascii="Verdana" w:hAnsi="Verdana" w:cstheme="minorHAnsi"/>
          <w:b/>
          <w:caps/>
          <w:sz w:val="20"/>
          <w:szCs w:val="20"/>
        </w:rPr>
      </w:pPr>
      <w:r>
        <w:rPr>
          <w:rFonts w:ascii="Verdana" w:hAnsi="Verdana" w:cstheme="minorHAnsi"/>
          <w:b/>
          <w:caps/>
          <w:sz w:val="20"/>
          <w:szCs w:val="20"/>
        </w:rPr>
        <w:t xml:space="preserve">Parecer n.º </w:t>
      </w:r>
      <w:r w:rsidR="008E2883">
        <w:rPr>
          <w:rFonts w:ascii="Verdana" w:hAnsi="Verdana" w:cstheme="minorHAnsi"/>
          <w:b/>
          <w:caps/>
          <w:sz w:val="20"/>
          <w:szCs w:val="20"/>
        </w:rPr>
        <w:t>3</w:t>
      </w:r>
      <w:r w:rsidR="000327E7">
        <w:rPr>
          <w:rFonts w:ascii="Verdana" w:hAnsi="Verdana" w:cstheme="minorHAnsi"/>
          <w:b/>
          <w:caps/>
          <w:sz w:val="20"/>
          <w:szCs w:val="20"/>
        </w:rPr>
        <w:t>8</w:t>
      </w:r>
      <w:r w:rsidR="00D158D2">
        <w:rPr>
          <w:rFonts w:ascii="Verdana" w:hAnsi="Verdana" w:cstheme="minorHAnsi"/>
          <w:b/>
          <w:caps/>
          <w:sz w:val="20"/>
          <w:szCs w:val="20"/>
        </w:rPr>
        <w:t>/2024</w:t>
      </w:r>
    </w:p>
    <w:p w:rsidR="00482C33" w:rsidRPr="00126159" w:rsidRDefault="00482C33" w:rsidP="002551C3">
      <w:pPr>
        <w:spacing w:after="0"/>
        <w:jc w:val="both"/>
        <w:rPr>
          <w:rFonts w:ascii="Verdana" w:hAnsi="Verdana" w:cstheme="minorHAnsi"/>
          <w:b/>
          <w:caps/>
          <w:sz w:val="20"/>
          <w:szCs w:val="20"/>
        </w:rPr>
      </w:pPr>
      <w:r w:rsidRPr="00126159">
        <w:rPr>
          <w:rFonts w:ascii="Verdana" w:hAnsi="Verdana" w:cstheme="minorHAnsi"/>
          <w:b/>
          <w:caps/>
          <w:sz w:val="20"/>
          <w:szCs w:val="20"/>
        </w:rPr>
        <w:t xml:space="preserve">Da: </w:t>
      </w:r>
      <w:r w:rsidR="003A4EB3">
        <w:rPr>
          <w:rFonts w:ascii="Verdana" w:hAnsi="Verdana" w:cstheme="minorHAnsi"/>
          <w:b/>
          <w:caps/>
          <w:sz w:val="20"/>
          <w:szCs w:val="20"/>
        </w:rPr>
        <w:t>ASSESSORIA JURÍDICA</w:t>
      </w:r>
    </w:p>
    <w:p w:rsidR="00482C33" w:rsidRPr="00126159" w:rsidRDefault="00482C33" w:rsidP="002551C3">
      <w:pPr>
        <w:spacing w:after="0"/>
        <w:jc w:val="both"/>
        <w:rPr>
          <w:rFonts w:ascii="Verdana" w:hAnsi="Verdana" w:cstheme="minorHAnsi"/>
          <w:b/>
          <w:caps/>
          <w:sz w:val="20"/>
          <w:szCs w:val="20"/>
        </w:rPr>
      </w:pPr>
      <w:r w:rsidRPr="00126159">
        <w:rPr>
          <w:rFonts w:ascii="Verdana" w:hAnsi="Verdana" w:cstheme="minorHAnsi"/>
          <w:b/>
          <w:caps/>
          <w:sz w:val="20"/>
          <w:szCs w:val="20"/>
        </w:rPr>
        <w:t>Para:</w:t>
      </w:r>
      <w:r w:rsidR="00CA4ACB">
        <w:rPr>
          <w:rFonts w:ascii="Verdana" w:hAnsi="Verdana" w:cstheme="minorHAnsi"/>
          <w:b/>
          <w:caps/>
          <w:sz w:val="20"/>
          <w:szCs w:val="20"/>
        </w:rPr>
        <w:t xml:space="preserve"> SETOR de licitaçÕES e contrato</w:t>
      </w:r>
    </w:p>
    <w:p w:rsidR="00482C33" w:rsidRDefault="00482C33" w:rsidP="008652C7">
      <w:pPr>
        <w:spacing w:after="0"/>
        <w:jc w:val="both"/>
        <w:rPr>
          <w:rFonts w:ascii="Verdana" w:hAnsi="Verdana" w:cstheme="minorHAnsi"/>
          <w:b/>
          <w:caps/>
          <w:sz w:val="20"/>
          <w:szCs w:val="20"/>
        </w:rPr>
      </w:pPr>
      <w:r w:rsidRPr="00126159">
        <w:rPr>
          <w:rFonts w:ascii="Verdana" w:hAnsi="Verdana" w:cstheme="minorHAnsi"/>
          <w:b/>
          <w:caps/>
          <w:sz w:val="20"/>
          <w:szCs w:val="20"/>
        </w:rPr>
        <w:t xml:space="preserve">Objeto: </w:t>
      </w:r>
      <w:r w:rsidR="00EF1039">
        <w:rPr>
          <w:rFonts w:ascii="Verdana" w:hAnsi="Verdana" w:cstheme="minorHAnsi"/>
          <w:b/>
          <w:caps/>
          <w:sz w:val="20"/>
          <w:szCs w:val="20"/>
        </w:rPr>
        <w:t xml:space="preserve">EDITAL </w:t>
      </w:r>
      <w:r w:rsidR="000327E7">
        <w:rPr>
          <w:rFonts w:ascii="Verdana" w:hAnsi="Verdana" w:cstheme="minorHAnsi"/>
          <w:b/>
          <w:caps/>
          <w:sz w:val="20"/>
          <w:szCs w:val="20"/>
        </w:rPr>
        <w:t>DE PE 010/2024</w:t>
      </w:r>
    </w:p>
    <w:p w:rsidR="008652C7" w:rsidRDefault="008652C7" w:rsidP="008652C7">
      <w:pPr>
        <w:spacing w:after="0"/>
        <w:jc w:val="both"/>
        <w:rPr>
          <w:rFonts w:ascii="Verdana" w:hAnsi="Verdana" w:cs="Times New Roman"/>
          <w:b/>
          <w:bCs/>
          <w:sz w:val="4"/>
          <w:szCs w:val="4"/>
        </w:rPr>
      </w:pPr>
    </w:p>
    <w:p w:rsidR="00D158D2" w:rsidRDefault="00D158D2" w:rsidP="008652C7">
      <w:pPr>
        <w:spacing w:after="0"/>
        <w:jc w:val="both"/>
        <w:rPr>
          <w:rFonts w:ascii="Verdana" w:hAnsi="Verdana" w:cs="Times New Roman"/>
          <w:b/>
          <w:bCs/>
          <w:sz w:val="4"/>
          <w:szCs w:val="4"/>
        </w:rPr>
      </w:pPr>
    </w:p>
    <w:p w:rsidR="00D158D2" w:rsidRPr="0051337D" w:rsidRDefault="00D158D2" w:rsidP="008652C7">
      <w:pPr>
        <w:spacing w:after="0"/>
        <w:jc w:val="both"/>
        <w:rPr>
          <w:rFonts w:ascii="Verdana" w:hAnsi="Verdana" w:cs="Times New Roman"/>
          <w:b/>
          <w:bCs/>
          <w:sz w:val="4"/>
          <w:szCs w:val="4"/>
        </w:rPr>
      </w:pPr>
    </w:p>
    <w:p w:rsidR="004C7F2E" w:rsidRDefault="004C7F2E" w:rsidP="00A83CA0">
      <w:pPr>
        <w:spacing w:after="0" w:line="360" w:lineRule="auto"/>
        <w:ind w:firstLine="1418"/>
        <w:jc w:val="both"/>
        <w:rPr>
          <w:rFonts w:cstheme="minorHAnsi"/>
          <w:b/>
          <w:bCs/>
          <w:sz w:val="2"/>
          <w:szCs w:val="8"/>
        </w:rPr>
      </w:pPr>
    </w:p>
    <w:p w:rsidR="008E2883" w:rsidRPr="00C06D5E" w:rsidRDefault="008E2883" w:rsidP="00A83CA0">
      <w:pPr>
        <w:spacing w:after="0" w:line="360" w:lineRule="auto"/>
        <w:ind w:firstLine="1418"/>
        <w:jc w:val="both"/>
        <w:rPr>
          <w:rFonts w:cstheme="minorHAnsi"/>
          <w:b/>
          <w:bCs/>
          <w:sz w:val="2"/>
          <w:szCs w:val="8"/>
        </w:rPr>
      </w:pPr>
    </w:p>
    <w:p w:rsidR="004D4D12" w:rsidRDefault="00D158D2" w:rsidP="008E2883">
      <w:pPr>
        <w:spacing w:after="0" w:line="360" w:lineRule="auto"/>
        <w:ind w:firstLine="1418"/>
        <w:jc w:val="both"/>
        <w:rPr>
          <w:rFonts w:cstheme="minorHAnsi"/>
          <w:sz w:val="24"/>
          <w:szCs w:val="24"/>
        </w:rPr>
      </w:pPr>
      <w:r w:rsidRPr="00D158D2">
        <w:rPr>
          <w:rFonts w:cstheme="minorHAnsi"/>
          <w:sz w:val="24"/>
          <w:szCs w:val="24"/>
        </w:rPr>
        <w:t xml:space="preserve">Trata-se de </w:t>
      </w:r>
      <w:r w:rsidR="000327E7">
        <w:rPr>
          <w:rFonts w:cstheme="minorHAnsi"/>
          <w:sz w:val="24"/>
          <w:szCs w:val="24"/>
        </w:rPr>
        <w:t>Edital de Pregão Eletrônico, destinado ao Registro de Preços para a contratação de serviços especializados de instalação e substituição de materiais na rede de iluminação pública</w:t>
      </w:r>
      <w:r w:rsidR="008E2883">
        <w:rPr>
          <w:rFonts w:cstheme="minorHAnsi"/>
          <w:sz w:val="24"/>
          <w:szCs w:val="24"/>
        </w:rPr>
        <w:t>.</w:t>
      </w:r>
    </w:p>
    <w:p w:rsidR="000327E7" w:rsidRDefault="000327E7" w:rsidP="008E2883">
      <w:pPr>
        <w:spacing w:after="0" w:line="360" w:lineRule="auto"/>
        <w:ind w:firstLine="141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Após a publicação do edital, sobreveio impugnação proposta pela empresa “Gustavo Henrique Rodrigues de Lima”, a qual questionou a exigência prevista no item 11.22.1do edital.</w:t>
      </w:r>
    </w:p>
    <w:p w:rsidR="004C7F2E" w:rsidRDefault="004C7F2E" w:rsidP="00254783">
      <w:pPr>
        <w:spacing w:after="0" w:line="360" w:lineRule="auto"/>
        <w:ind w:firstLine="141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É, no essencial, o relatório. </w:t>
      </w:r>
    </w:p>
    <w:p w:rsidR="004C7F2E" w:rsidRPr="00C06D5E" w:rsidRDefault="004C7F2E" w:rsidP="004C7F2E">
      <w:pPr>
        <w:spacing w:after="0" w:line="360" w:lineRule="auto"/>
        <w:jc w:val="both"/>
        <w:rPr>
          <w:rFonts w:cstheme="minorHAnsi"/>
          <w:sz w:val="4"/>
          <w:szCs w:val="8"/>
        </w:rPr>
      </w:pPr>
    </w:p>
    <w:p w:rsidR="001D3028" w:rsidRDefault="004C7F2E" w:rsidP="00D158D2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Inicialmente, cabe ressaltar que dada </w:t>
      </w:r>
      <w:proofErr w:type="gramStart"/>
      <w:r>
        <w:rPr>
          <w:rFonts w:cstheme="minorHAnsi"/>
          <w:sz w:val="24"/>
          <w:szCs w:val="24"/>
        </w:rPr>
        <w:t>a</w:t>
      </w:r>
      <w:proofErr w:type="gramEnd"/>
      <w:r>
        <w:rPr>
          <w:rFonts w:cstheme="minorHAnsi"/>
          <w:sz w:val="24"/>
          <w:szCs w:val="24"/>
        </w:rPr>
        <w:t xml:space="preserve"> natureza eminentemente jurídica deste Órgão, situar-se-á o presente parecer tão somente nos aspectos legais que giram em torno da questão posta à apreciação.</w:t>
      </w:r>
    </w:p>
    <w:p w:rsidR="001D3028" w:rsidRDefault="001D3028" w:rsidP="001D3028">
      <w:pPr>
        <w:spacing w:after="0" w:line="360" w:lineRule="auto"/>
        <w:ind w:firstLine="141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Pois bem.</w:t>
      </w:r>
    </w:p>
    <w:p w:rsidR="00CF0063" w:rsidRDefault="000327E7" w:rsidP="00F62FDD">
      <w:pPr>
        <w:spacing w:after="0" w:line="312" w:lineRule="auto"/>
        <w:ind w:firstLine="141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Colhe-se do item impugnado:</w:t>
      </w:r>
    </w:p>
    <w:p w:rsidR="000327E7" w:rsidRDefault="000327E7" w:rsidP="000327E7">
      <w:pPr>
        <w:spacing w:after="0" w:line="240" w:lineRule="auto"/>
        <w:ind w:left="1418"/>
        <w:jc w:val="both"/>
        <w:rPr>
          <w:rFonts w:asciiTheme="minorHAnsi" w:hAnsiTheme="minorHAnsi"/>
          <w:sz w:val="24"/>
        </w:rPr>
      </w:pPr>
    </w:p>
    <w:p w:rsidR="000327E7" w:rsidRPr="000327E7" w:rsidRDefault="000327E7" w:rsidP="000327E7">
      <w:pPr>
        <w:spacing w:after="0" w:line="240" w:lineRule="auto"/>
        <w:ind w:left="2268"/>
        <w:jc w:val="both"/>
        <w:rPr>
          <w:rFonts w:asciiTheme="minorHAnsi" w:hAnsiTheme="minorHAnsi"/>
          <w:sz w:val="24"/>
        </w:rPr>
      </w:pPr>
      <w:r w:rsidRPr="000327E7">
        <w:rPr>
          <w:rFonts w:asciiTheme="minorHAnsi" w:hAnsiTheme="minorHAnsi"/>
          <w:sz w:val="24"/>
        </w:rPr>
        <w:t>11.22. Da Qualificação Técnica:</w:t>
      </w:r>
    </w:p>
    <w:p w:rsidR="000327E7" w:rsidRDefault="000327E7" w:rsidP="000327E7">
      <w:pPr>
        <w:spacing w:after="0" w:line="240" w:lineRule="auto"/>
        <w:ind w:left="2268"/>
        <w:jc w:val="both"/>
        <w:rPr>
          <w:rFonts w:asciiTheme="minorHAnsi" w:hAnsiTheme="minorHAnsi"/>
          <w:sz w:val="24"/>
        </w:rPr>
      </w:pPr>
      <w:r w:rsidRPr="000327E7">
        <w:rPr>
          <w:rFonts w:asciiTheme="minorHAnsi" w:hAnsiTheme="minorHAnsi"/>
          <w:sz w:val="24"/>
        </w:rPr>
        <w:t>11.22.1. Comprovante de Credenciamento junto à CELESC Distribuição S.A. para execução de serviços de</w:t>
      </w:r>
      <w:r>
        <w:rPr>
          <w:rFonts w:asciiTheme="minorHAnsi" w:hAnsiTheme="minorHAnsi"/>
          <w:sz w:val="24"/>
        </w:rPr>
        <w:t xml:space="preserve"> </w:t>
      </w:r>
      <w:r w:rsidRPr="000327E7">
        <w:rPr>
          <w:rFonts w:asciiTheme="minorHAnsi" w:hAnsiTheme="minorHAnsi"/>
          <w:sz w:val="24"/>
        </w:rPr>
        <w:t>iluminação pública.</w:t>
      </w:r>
    </w:p>
    <w:p w:rsidR="000327E7" w:rsidRDefault="000327E7" w:rsidP="000327E7">
      <w:pPr>
        <w:spacing w:after="0" w:line="312" w:lineRule="auto"/>
        <w:ind w:firstLine="1418"/>
        <w:jc w:val="both"/>
        <w:rPr>
          <w:rFonts w:asciiTheme="minorHAnsi" w:hAnsiTheme="minorHAnsi"/>
          <w:sz w:val="24"/>
        </w:rPr>
      </w:pPr>
    </w:p>
    <w:p w:rsidR="000327E7" w:rsidRDefault="000327E7" w:rsidP="000327E7">
      <w:pPr>
        <w:spacing w:after="0" w:line="312" w:lineRule="auto"/>
        <w:ind w:firstLine="1418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A exigência em questão já foi objeto de análise do Tribunal de Contas do Estado de Santa Catarina, onde ao julgar o REP 13/</w:t>
      </w:r>
      <w:r w:rsidR="00BC416B">
        <w:rPr>
          <w:rFonts w:asciiTheme="minorHAnsi" w:hAnsiTheme="minorHAnsi"/>
          <w:sz w:val="24"/>
        </w:rPr>
        <w:t>00630709</w:t>
      </w:r>
      <w:r>
        <w:rPr>
          <w:rFonts w:asciiTheme="minorHAnsi" w:hAnsiTheme="minorHAnsi"/>
          <w:sz w:val="24"/>
        </w:rPr>
        <w:t>, entendeu-se pela ilegalidade da exigência, conforme destaque a seguir:</w:t>
      </w:r>
    </w:p>
    <w:p w:rsidR="000327E7" w:rsidRDefault="000327E7" w:rsidP="000327E7">
      <w:pPr>
        <w:spacing w:after="0" w:line="312" w:lineRule="auto"/>
        <w:ind w:firstLine="1418"/>
        <w:jc w:val="both"/>
        <w:rPr>
          <w:rFonts w:asciiTheme="minorHAnsi" w:hAnsiTheme="minorHAnsi"/>
          <w:sz w:val="24"/>
        </w:rPr>
      </w:pPr>
    </w:p>
    <w:p w:rsidR="00BC416B" w:rsidRPr="00BC416B" w:rsidRDefault="000327E7" w:rsidP="000327E7">
      <w:pPr>
        <w:spacing w:after="0" w:line="240" w:lineRule="auto"/>
        <w:ind w:left="2268"/>
        <w:jc w:val="both"/>
        <w:rPr>
          <w:rFonts w:asciiTheme="minorHAnsi" w:hAnsiTheme="minorHAnsi"/>
        </w:rPr>
      </w:pPr>
      <w:r w:rsidRPr="00BC416B">
        <w:rPr>
          <w:rFonts w:asciiTheme="minorHAnsi" w:hAnsiTheme="minorHAnsi"/>
        </w:rPr>
        <w:t>(...)</w:t>
      </w:r>
    </w:p>
    <w:p w:rsidR="00BC416B" w:rsidRPr="00BC416B" w:rsidRDefault="00BC416B" w:rsidP="000327E7">
      <w:pPr>
        <w:spacing w:after="0" w:line="240" w:lineRule="auto"/>
        <w:ind w:left="2268"/>
        <w:jc w:val="both"/>
        <w:rPr>
          <w:rFonts w:asciiTheme="minorHAnsi" w:hAnsiTheme="minorHAnsi"/>
        </w:rPr>
      </w:pPr>
      <w:r w:rsidRPr="00BC416B">
        <w:rPr>
          <w:rFonts w:asciiTheme="minorHAnsi" w:hAnsiTheme="minorHAnsi"/>
        </w:rPr>
        <w:t xml:space="preserve">Portanto, não assiste razão ao representante, pois o objeto do edital é a contratação de empresa para fornecimento de materiais e serviços de mão de obra, </w:t>
      </w:r>
      <w:r w:rsidRPr="00BC416B">
        <w:rPr>
          <w:rFonts w:asciiTheme="minorHAnsi" w:hAnsiTheme="minorHAnsi"/>
          <w:b/>
          <w:u w:val="single"/>
        </w:rPr>
        <w:t>destinados para a manutenção e conservação do sistema de iluminação pública e não há serviços de intervenção nas redes de distribuição.</w:t>
      </w:r>
    </w:p>
    <w:p w:rsidR="00BC416B" w:rsidRPr="00BC416B" w:rsidRDefault="00BC416B" w:rsidP="000327E7">
      <w:pPr>
        <w:spacing w:after="0" w:line="240" w:lineRule="auto"/>
        <w:ind w:left="2268"/>
        <w:jc w:val="both"/>
        <w:rPr>
          <w:rFonts w:asciiTheme="minorHAnsi" w:hAnsiTheme="minorHAnsi"/>
        </w:rPr>
      </w:pPr>
    </w:p>
    <w:p w:rsidR="000327E7" w:rsidRDefault="00BC416B" w:rsidP="000327E7">
      <w:pPr>
        <w:spacing w:after="0" w:line="240" w:lineRule="auto"/>
        <w:ind w:left="2268"/>
        <w:jc w:val="both"/>
        <w:rPr>
          <w:rFonts w:asciiTheme="minorHAnsi" w:hAnsiTheme="minorHAnsi"/>
        </w:rPr>
      </w:pPr>
      <w:r w:rsidRPr="00BC416B">
        <w:rPr>
          <w:rFonts w:asciiTheme="minorHAnsi" w:hAnsiTheme="minorHAnsi"/>
        </w:rPr>
        <w:t xml:space="preserve">Ademais, </w:t>
      </w:r>
      <w:r w:rsidR="000327E7" w:rsidRPr="00BC416B">
        <w:rPr>
          <w:rFonts w:asciiTheme="minorHAnsi" w:hAnsiTheme="minorHAnsi"/>
        </w:rPr>
        <w:t xml:space="preserve">a comprovação da autorização através de CRC também não seria pertinente exigir, </w:t>
      </w:r>
      <w:r w:rsidR="000327E7" w:rsidRPr="00BC416B">
        <w:rPr>
          <w:rFonts w:asciiTheme="minorHAnsi" w:hAnsiTheme="minorHAnsi"/>
          <w:b/>
          <w:u w:val="single"/>
        </w:rPr>
        <w:t xml:space="preserve">pois se trata de documento que demonstra regularidade da empresa junto à </w:t>
      </w:r>
      <w:proofErr w:type="spellStart"/>
      <w:r w:rsidR="000327E7" w:rsidRPr="00BC416B">
        <w:rPr>
          <w:rFonts w:asciiTheme="minorHAnsi" w:hAnsiTheme="minorHAnsi"/>
          <w:b/>
          <w:u w:val="single"/>
        </w:rPr>
        <w:t>Celesc</w:t>
      </w:r>
      <w:proofErr w:type="spellEnd"/>
      <w:r w:rsidR="000327E7" w:rsidRPr="00BC416B">
        <w:rPr>
          <w:rFonts w:asciiTheme="minorHAnsi" w:hAnsiTheme="minorHAnsi"/>
          <w:b/>
          <w:u w:val="single"/>
        </w:rPr>
        <w:t xml:space="preserve"> (documento de terceiro)</w:t>
      </w:r>
      <w:r w:rsidR="000327E7" w:rsidRPr="00BC416B">
        <w:rPr>
          <w:rFonts w:asciiTheme="minorHAnsi" w:hAnsiTheme="minorHAnsi"/>
        </w:rPr>
        <w:t xml:space="preserve"> e, neste caso a Unidade Gestora da licitação é a Prefeitura Municipal de São Miguel do Oeste. Ainda há se observar que a documentação solicitada é no tocante ao serviço de construção ou reforma das redes de distribuição, distinto do objeto do edital.</w:t>
      </w:r>
    </w:p>
    <w:p w:rsidR="00BC416B" w:rsidRDefault="00BC416B" w:rsidP="000327E7">
      <w:pPr>
        <w:spacing w:after="0" w:line="240" w:lineRule="auto"/>
        <w:ind w:left="2268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(...)</w:t>
      </w:r>
    </w:p>
    <w:p w:rsidR="00BC416B" w:rsidRDefault="00BC416B" w:rsidP="000327E7">
      <w:pPr>
        <w:spacing w:after="0" w:line="240" w:lineRule="auto"/>
        <w:ind w:left="2268"/>
        <w:jc w:val="both"/>
        <w:rPr>
          <w:rFonts w:asciiTheme="minorHAnsi" w:hAnsiTheme="minorHAnsi"/>
        </w:rPr>
      </w:pPr>
      <w:r w:rsidRPr="00BC416B">
        <w:rPr>
          <w:rFonts w:asciiTheme="minorHAnsi" w:hAnsiTheme="minorHAnsi"/>
        </w:rPr>
        <w:t xml:space="preserve">3.2. </w:t>
      </w:r>
      <w:r w:rsidRPr="00BC416B">
        <w:rPr>
          <w:rFonts w:asciiTheme="minorHAnsi" w:hAnsiTheme="minorHAnsi"/>
          <w:b/>
          <w:u w:val="single"/>
        </w:rPr>
        <w:t>Acolher o pedido de sustação cautelar do Edital</w:t>
      </w:r>
      <w:r w:rsidRPr="00BC416B">
        <w:rPr>
          <w:rFonts w:asciiTheme="minorHAnsi" w:hAnsiTheme="minorHAnsi"/>
        </w:rPr>
        <w:t xml:space="preserve"> de Pregão Presencial nº 080/13 lançado pela da Prefeitura Municipal de São Miguel do Oeste, por preencher os requisitos que autorizam a concessão de medida cautelar para </w:t>
      </w:r>
      <w:r w:rsidRPr="00BC416B">
        <w:rPr>
          <w:rFonts w:asciiTheme="minorHAnsi" w:hAnsiTheme="minorHAnsi"/>
        </w:rPr>
        <w:lastRenderedPageBreak/>
        <w:t xml:space="preserve">suspensão do procedimento licitatório notadamente o </w:t>
      </w:r>
      <w:proofErr w:type="spellStart"/>
      <w:r w:rsidRPr="00BC416B">
        <w:rPr>
          <w:rFonts w:asciiTheme="minorHAnsi" w:hAnsiTheme="minorHAnsi"/>
        </w:rPr>
        <w:t>periculum</w:t>
      </w:r>
      <w:proofErr w:type="spellEnd"/>
      <w:r w:rsidRPr="00BC416B">
        <w:rPr>
          <w:rFonts w:asciiTheme="minorHAnsi" w:hAnsiTheme="minorHAnsi"/>
        </w:rPr>
        <w:t xml:space="preserve"> in mora (abertura prevista para o dia 10/10/2013) e o </w:t>
      </w:r>
      <w:proofErr w:type="spellStart"/>
      <w:r w:rsidRPr="00BC416B">
        <w:rPr>
          <w:rFonts w:asciiTheme="minorHAnsi" w:hAnsiTheme="minorHAnsi"/>
        </w:rPr>
        <w:t>fumus</w:t>
      </w:r>
      <w:proofErr w:type="spellEnd"/>
      <w:r w:rsidRPr="00BC416B">
        <w:rPr>
          <w:rFonts w:asciiTheme="minorHAnsi" w:hAnsiTheme="minorHAnsi"/>
        </w:rPr>
        <w:t xml:space="preserve"> </w:t>
      </w:r>
      <w:proofErr w:type="spellStart"/>
      <w:r w:rsidRPr="00BC416B">
        <w:rPr>
          <w:rFonts w:asciiTheme="minorHAnsi" w:hAnsiTheme="minorHAnsi"/>
        </w:rPr>
        <w:t>boni</w:t>
      </w:r>
      <w:proofErr w:type="spellEnd"/>
      <w:r w:rsidRPr="00BC416B">
        <w:rPr>
          <w:rFonts w:asciiTheme="minorHAnsi" w:hAnsiTheme="minorHAnsi"/>
        </w:rPr>
        <w:t xml:space="preserve"> </w:t>
      </w:r>
      <w:proofErr w:type="spellStart"/>
      <w:r w:rsidRPr="00BC416B">
        <w:rPr>
          <w:rFonts w:asciiTheme="minorHAnsi" w:hAnsiTheme="minorHAnsi"/>
        </w:rPr>
        <w:t>iuris</w:t>
      </w:r>
      <w:proofErr w:type="spellEnd"/>
      <w:r w:rsidRPr="00BC416B">
        <w:rPr>
          <w:rFonts w:asciiTheme="minorHAnsi" w:hAnsiTheme="minorHAnsi"/>
        </w:rPr>
        <w:t xml:space="preserve">, </w:t>
      </w:r>
      <w:r w:rsidRPr="00BC416B">
        <w:rPr>
          <w:rFonts w:asciiTheme="minorHAnsi" w:hAnsiTheme="minorHAnsi"/>
          <w:b/>
          <w:u w:val="single"/>
        </w:rPr>
        <w:t>em face da seguinte irregularidade:</w:t>
      </w:r>
      <w:r w:rsidRPr="00BC416B">
        <w:rPr>
          <w:rFonts w:asciiTheme="minorHAnsi" w:hAnsiTheme="minorHAnsi"/>
        </w:rPr>
        <w:t xml:space="preserve"> </w:t>
      </w:r>
    </w:p>
    <w:p w:rsidR="00BC416B" w:rsidRDefault="00BC416B" w:rsidP="000327E7">
      <w:pPr>
        <w:spacing w:after="0" w:line="240" w:lineRule="auto"/>
        <w:ind w:left="2268"/>
        <w:jc w:val="both"/>
        <w:rPr>
          <w:rFonts w:asciiTheme="minorHAnsi" w:hAnsiTheme="minorHAnsi"/>
        </w:rPr>
      </w:pPr>
    </w:p>
    <w:p w:rsidR="00BC416B" w:rsidRPr="00BC416B" w:rsidRDefault="00BC416B" w:rsidP="000327E7">
      <w:pPr>
        <w:spacing w:after="0" w:line="240" w:lineRule="auto"/>
        <w:ind w:left="2268"/>
        <w:jc w:val="both"/>
        <w:rPr>
          <w:rFonts w:asciiTheme="minorHAnsi" w:hAnsiTheme="minorHAnsi"/>
        </w:rPr>
      </w:pPr>
      <w:r w:rsidRPr="00BC416B">
        <w:rPr>
          <w:rFonts w:asciiTheme="minorHAnsi" w:hAnsiTheme="minorHAnsi"/>
        </w:rPr>
        <w:t xml:space="preserve">3.2.1. </w:t>
      </w:r>
      <w:r w:rsidRPr="00BC416B">
        <w:rPr>
          <w:rFonts w:asciiTheme="minorHAnsi" w:hAnsiTheme="minorHAnsi"/>
          <w:b/>
          <w:u w:val="single"/>
        </w:rPr>
        <w:t>Exigências ilegais e abusivas no tocante à qualificação técnica</w:t>
      </w:r>
      <w:r w:rsidRPr="00BC416B">
        <w:rPr>
          <w:rFonts w:asciiTheme="minorHAnsi" w:hAnsiTheme="minorHAnsi"/>
        </w:rPr>
        <w:t>, contrariando o previsto no inc. I, § 1º do art. 3º c/c art. 30, todos da Lei nº 8.666/93 (item 2.2.1, alíneas “a”, “b” e “c” do presente Relatório);</w:t>
      </w:r>
    </w:p>
    <w:p w:rsidR="000327E7" w:rsidRDefault="000327E7" w:rsidP="000327E7">
      <w:pPr>
        <w:spacing w:after="0" w:line="312" w:lineRule="auto"/>
        <w:ind w:firstLine="1418"/>
        <w:jc w:val="both"/>
        <w:rPr>
          <w:rFonts w:asciiTheme="minorHAnsi" w:hAnsiTheme="minorHAnsi"/>
          <w:sz w:val="24"/>
        </w:rPr>
      </w:pPr>
    </w:p>
    <w:p w:rsidR="000327E7" w:rsidRDefault="00BC416B" w:rsidP="00BC416B">
      <w:pPr>
        <w:spacing w:after="0" w:line="312" w:lineRule="auto"/>
        <w:ind w:firstLine="1418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Portanto, deve ser reconhecida a impugnação para exclusão da exigência de</w:t>
      </w:r>
      <w:r w:rsidR="000327E7" w:rsidRPr="000327E7">
        <w:rPr>
          <w:rFonts w:asciiTheme="minorHAnsi" w:hAnsiTheme="minorHAnsi"/>
          <w:sz w:val="24"/>
        </w:rPr>
        <w:t xml:space="preserve"> credenciamento </w:t>
      </w:r>
      <w:r>
        <w:rPr>
          <w:rFonts w:asciiTheme="minorHAnsi" w:hAnsiTheme="minorHAnsi"/>
          <w:sz w:val="24"/>
        </w:rPr>
        <w:t xml:space="preserve">da licitante </w:t>
      </w:r>
      <w:r w:rsidR="000327E7" w:rsidRPr="000327E7">
        <w:rPr>
          <w:rFonts w:asciiTheme="minorHAnsi" w:hAnsiTheme="minorHAnsi"/>
          <w:sz w:val="24"/>
        </w:rPr>
        <w:t xml:space="preserve">junto à </w:t>
      </w:r>
      <w:proofErr w:type="spellStart"/>
      <w:r w:rsidR="000327E7" w:rsidRPr="000327E7">
        <w:rPr>
          <w:rFonts w:asciiTheme="minorHAnsi" w:hAnsiTheme="minorHAnsi"/>
          <w:sz w:val="24"/>
        </w:rPr>
        <w:t>Celesc</w:t>
      </w:r>
      <w:proofErr w:type="spellEnd"/>
      <w:r w:rsidR="000327E7">
        <w:rPr>
          <w:rFonts w:asciiTheme="minorHAnsi" w:hAnsiTheme="minorHAnsi"/>
          <w:sz w:val="24"/>
        </w:rPr>
        <w:t xml:space="preserve"> </w:t>
      </w:r>
      <w:r w:rsidR="000327E7" w:rsidRPr="000327E7">
        <w:rPr>
          <w:rFonts w:asciiTheme="minorHAnsi" w:hAnsiTheme="minorHAnsi"/>
          <w:sz w:val="24"/>
        </w:rPr>
        <w:t>Distribuição S.A</w:t>
      </w:r>
      <w:r>
        <w:rPr>
          <w:rFonts w:asciiTheme="minorHAnsi" w:hAnsiTheme="minorHAnsi"/>
          <w:sz w:val="24"/>
        </w:rPr>
        <w:t>.</w:t>
      </w:r>
    </w:p>
    <w:p w:rsidR="00BC416B" w:rsidRDefault="00BC416B" w:rsidP="00BC416B">
      <w:pPr>
        <w:spacing w:after="0" w:line="312" w:lineRule="auto"/>
        <w:ind w:firstLine="1418"/>
        <w:jc w:val="both"/>
        <w:rPr>
          <w:rFonts w:asciiTheme="minorHAnsi" w:hAnsiTheme="minorHAnsi"/>
          <w:sz w:val="24"/>
        </w:rPr>
      </w:pPr>
    </w:p>
    <w:p w:rsidR="00BC416B" w:rsidRDefault="00BC416B" w:rsidP="00BC416B">
      <w:pPr>
        <w:spacing w:after="0" w:line="312" w:lineRule="auto"/>
        <w:ind w:firstLine="1418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Ante o exposto, a Assessoria Jurídica do Município manifesta-se pela </w:t>
      </w:r>
      <w:r w:rsidRPr="00BC416B">
        <w:rPr>
          <w:rFonts w:asciiTheme="minorHAnsi" w:hAnsiTheme="minorHAnsi"/>
          <w:b/>
          <w:sz w:val="24"/>
        </w:rPr>
        <w:t>PROCEDÊNCIA DA IMPUGNAÇÃO</w:t>
      </w:r>
      <w:r>
        <w:rPr>
          <w:rFonts w:asciiTheme="minorHAnsi" w:hAnsiTheme="minorHAnsi"/>
          <w:sz w:val="24"/>
        </w:rPr>
        <w:t>, para que seja excluída a exigência prevista no item impugnado.</w:t>
      </w:r>
    </w:p>
    <w:p w:rsidR="00BC416B" w:rsidRDefault="00BC416B" w:rsidP="00BC416B">
      <w:pPr>
        <w:spacing w:after="0" w:line="312" w:lineRule="auto"/>
        <w:ind w:firstLine="1418"/>
        <w:jc w:val="both"/>
        <w:rPr>
          <w:rFonts w:asciiTheme="minorHAnsi" w:hAnsiTheme="minorHAnsi"/>
          <w:sz w:val="24"/>
        </w:rPr>
      </w:pPr>
    </w:p>
    <w:p w:rsidR="000327E7" w:rsidRDefault="00BC416B" w:rsidP="000327E7">
      <w:pPr>
        <w:spacing w:after="0" w:line="312" w:lineRule="auto"/>
        <w:ind w:firstLine="1418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Por outro lado, visando </w:t>
      </w:r>
      <w:proofErr w:type="gramStart"/>
      <w:r>
        <w:rPr>
          <w:rFonts w:asciiTheme="minorHAnsi" w:hAnsiTheme="minorHAnsi"/>
          <w:sz w:val="24"/>
        </w:rPr>
        <w:t>a</w:t>
      </w:r>
      <w:proofErr w:type="gramEnd"/>
      <w:r>
        <w:rPr>
          <w:rFonts w:asciiTheme="minorHAnsi" w:hAnsiTheme="minorHAnsi"/>
          <w:sz w:val="24"/>
        </w:rPr>
        <w:t xml:space="preserve"> efetividade da contratação, </w:t>
      </w:r>
      <w:r w:rsidRPr="00BC416B">
        <w:rPr>
          <w:rFonts w:asciiTheme="minorHAnsi" w:hAnsiTheme="minorHAnsi"/>
          <w:b/>
          <w:sz w:val="24"/>
          <w:u w:val="single"/>
        </w:rPr>
        <w:t>RECOMENDA-SE</w:t>
      </w:r>
      <w:r>
        <w:rPr>
          <w:rFonts w:asciiTheme="minorHAnsi" w:hAnsiTheme="minorHAnsi"/>
          <w:sz w:val="24"/>
        </w:rPr>
        <w:t xml:space="preserve"> a inclusão </w:t>
      </w:r>
      <w:r w:rsidR="003D0920">
        <w:rPr>
          <w:rFonts w:asciiTheme="minorHAnsi" w:hAnsiTheme="minorHAnsi"/>
          <w:sz w:val="24"/>
        </w:rPr>
        <w:t xml:space="preserve">de </w:t>
      </w:r>
      <w:r>
        <w:rPr>
          <w:rFonts w:asciiTheme="minorHAnsi" w:hAnsiTheme="minorHAnsi"/>
          <w:sz w:val="24"/>
        </w:rPr>
        <w:t xml:space="preserve">exigência </w:t>
      </w:r>
      <w:r w:rsidR="003D0920">
        <w:rPr>
          <w:rFonts w:asciiTheme="minorHAnsi" w:hAnsiTheme="minorHAnsi"/>
          <w:sz w:val="24"/>
        </w:rPr>
        <w:t xml:space="preserve">destinada a comprovação da </w:t>
      </w:r>
      <w:r>
        <w:rPr>
          <w:rFonts w:asciiTheme="minorHAnsi" w:hAnsiTheme="minorHAnsi"/>
          <w:sz w:val="24"/>
        </w:rPr>
        <w:t>qualificação técnica</w:t>
      </w:r>
      <w:r w:rsidR="003D0920">
        <w:rPr>
          <w:rFonts w:asciiTheme="minorHAnsi" w:hAnsiTheme="minorHAnsi"/>
          <w:sz w:val="24"/>
        </w:rPr>
        <w:t xml:space="preserve"> operacional da licitante</w:t>
      </w:r>
      <w:r>
        <w:rPr>
          <w:rFonts w:asciiTheme="minorHAnsi" w:hAnsiTheme="minorHAnsi"/>
          <w:sz w:val="24"/>
        </w:rPr>
        <w:t>, medi</w:t>
      </w:r>
      <w:r w:rsidR="003D0920">
        <w:rPr>
          <w:rFonts w:asciiTheme="minorHAnsi" w:hAnsiTheme="minorHAnsi"/>
          <w:sz w:val="24"/>
        </w:rPr>
        <w:t>ante a apresentação de atestado</w:t>
      </w:r>
      <w:r>
        <w:rPr>
          <w:rFonts w:asciiTheme="minorHAnsi" w:hAnsiTheme="minorHAnsi"/>
          <w:sz w:val="24"/>
        </w:rPr>
        <w:t xml:space="preserve">, em nome da empresa, que demonstre a </w:t>
      </w:r>
      <w:r w:rsidRPr="00BC416B">
        <w:rPr>
          <w:rFonts w:asciiTheme="minorHAnsi" w:hAnsiTheme="minorHAnsi"/>
          <w:sz w:val="24"/>
        </w:rPr>
        <w:t>execução de serviços similares de complexidade tecnológica e opera</w:t>
      </w:r>
      <w:r>
        <w:rPr>
          <w:rFonts w:asciiTheme="minorHAnsi" w:hAnsiTheme="minorHAnsi"/>
          <w:sz w:val="24"/>
        </w:rPr>
        <w:t>cional equivalente ou superior ao objeto contratado.</w:t>
      </w:r>
    </w:p>
    <w:p w:rsidR="000327E7" w:rsidRDefault="000327E7" w:rsidP="000327E7">
      <w:pPr>
        <w:spacing w:after="0" w:line="312" w:lineRule="auto"/>
        <w:ind w:firstLine="1418"/>
        <w:jc w:val="both"/>
        <w:rPr>
          <w:rFonts w:asciiTheme="minorHAnsi" w:hAnsiTheme="minorHAnsi"/>
          <w:sz w:val="24"/>
        </w:rPr>
      </w:pPr>
    </w:p>
    <w:p w:rsidR="00A83CA0" w:rsidRDefault="008E2883" w:rsidP="00A83CA0">
      <w:pPr>
        <w:spacing w:after="120" w:line="312" w:lineRule="auto"/>
        <w:ind w:firstLine="1418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noProof/>
          <w:sz w:val="24"/>
          <w:szCs w:val="24"/>
          <w:lang w:eastAsia="pt-B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2150110</wp:posOffset>
            </wp:positionH>
            <wp:positionV relativeFrom="paragraph">
              <wp:posOffset>140970</wp:posOffset>
            </wp:positionV>
            <wp:extent cx="2084705" cy="2233930"/>
            <wp:effectExtent l="19050" t="0" r="0" b="0"/>
            <wp:wrapNone/>
            <wp:docPr id="3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4705" cy="2233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C248C" w:rsidRPr="00CF0063">
        <w:rPr>
          <w:rFonts w:asciiTheme="minorHAnsi" w:hAnsiTheme="minorHAnsi"/>
          <w:sz w:val="24"/>
          <w:szCs w:val="24"/>
        </w:rPr>
        <w:t>É o parecer.</w:t>
      </w:r>
    </w:p>
    <w:p w:rsidR="00F50533" w:rsidRPr="00CF0063" w:rsidRDefault="00F50533" w:rsidP="00A83CA0">
      <w:pPr>
        <w:spacing w:after="120" w:line="312" w:lineRule="auto"/>
        <w:ind w:firstLine="1418"/>
        <w:jc w:val="both"/>
        <w:rPr>
          <w:rFonts w:asciiTheme="minorHAnsi" w:hAnsiTheme="minorHAnsi"/>
          <w:sz w:val="24"/>
          <w:szCs w:val="24"/>
        </w:rPr>
      </w:pPr>
      <w:r w:rsidRPr="00CF0063">
        <w:rPr>
          <w:rFonts w:asciiTheme="minorHAnsi" w:hAnsiTheme="minorHAnsi"/>
          <w:sz w:val="24"/>
          <w:szCs w:val="24"/>
        </w:rPr>
        <w:t xml:space="preserve">Vargem (SC), </w:t>
      </w:r>
      <w:r w:rsidR="003D0920">
        <w:rPr>
          <w:rFonts w:asciiTheme="minorHAnsi" w:hAnsiTheme="minorHAnsi"/>
          <w:sz w:val="24"/>
          <w:szCs w:val="24"/>
        </w:rPr>
        <w:t xml:space="preserve">11 </w:t>
      </w:r>
      <w:r w:rsidR="00920215" w:rsidRPr="00CF0063">
        <w:rPr>
          <w:rFonts w:asciiTheme="minorHAnsi" w:hAnsiTheme="minorHAnsi"/>
          <w:sz w:val="24"/>
          <w:szCs w:val="24"/>
        </w:rPr>
        <w:t xml:space="preserve">de </w:t>
      </w:r>
      <w:r w:rsidR="00F62FDD">
        <w:rPr>
          <w:rFonts w:asciiTheme="minorHAnsi" w:hAnsiTheme="minorHAnsi"/>
          <w:sz w:val="24"/>
          <w:szCs w:val="24"/>
        </w:rPr>
        <w:t xml:space="preserve">abril </w:t>
      </w:r>
      <w:r w:rsidR="002C1495">
        <w:rPr>
          <w:rFonts w:asciiTheme="minorHAnsi" w:hAnsiTheme="minorHAnsi"/>
          <w:sz w:val="24"/>
          <w:szCs w:val="24"/>
        </w:rPr>
        <w:t>de 2024</w:t>
      </w:r>
      <w:r w:rsidRPr="00CF0063">
        <w:rPr>
          <w:rFonts w:asciiTheme="minorHAnsi" w:hAnsiTheme="minorHAnsi"/>
          <w:sz w:val="24"/>
          <w:szCs w:val="24"/>
        </w:rPr>
        <w:t>.</w:t>
      </w:r>
    </w:p>
    <w:p w:rsidR="00A0385C" w:rsidRPr="00CF0063" w:rsidRDefault="00A0385C" w:rsidP="0051242C">
      <w:pPr>
        <w:ind w:firstLine="1701"/>
        <w:jc w:val="both"/>
        <w:rPr>
          <w:rFonts w:asciiTheme="minorHAnsi" w:hAnsiTheme="minorHAnsi"/>
          <w:sz w:val="24"/>
          <w:szCs w:val="24"/>
        </w:rPr>
      </w:pPr>
    </w:p>
    <w:p w:rsidR="00A83CA0" w:rsidRPr="00CF0063" w:rsidRDefault="00A83CA0" w:rsidP="0051242C">
      <w:pPr>
        <w:ind w:firstLine="1701"/>
        <w:jc w:val="both"/>
        <w:rPr>
          <w:rFonts w:asciiTheme="minorHAnsi" w:hAnsiTheme="minorHAnsi"/>
          <w:sz w:val="24"/>
          <w:szCs w:val="24"/>
        </w:rPr>
      </w:pPr>
    </w:p>
    <w:p w:rsidR="00F50533" w:rsidRPr="00CF0063" w:rsidRDefault="00F50533" w:rsidP="00A83CA0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  <w:r w:rsidRPr="00CF0063">
        <w:rPr>
          <w:rFonts w:asciiTheme="minorHAnsi" w:hAnsiTheme="minorHAnsi"/>
          <w:b/>
          <w:sz w:val="24"/>
          <w:szCs w:val="24"/>
        </w:rPr>
        <w:t>VINICIUS BRANDALISE</w:t>
      </w:r>
    </w:p>
    <w:p w:rsidR="009816F3" w:rsidRPr="00CF0063" w:rsidRDefault="003A4EB3" w:rsidP="00A83CA0">
      <w:pPr>
        <w:spacing w:after="0" w:line="240" w:lineRule="auto"/>
        <w:jc w:val="center"/>
        <w:rPr>
          <w:rFonts w:asciiTheme="minorHAnsi" w:hAnsiTheme="minorHAnsi"/>
          <w:sz w:val="24"/>
          <w:szCs w:val="24"/>
        </w:rPr>
      </w:pPr>
      <w:r w:rsidRPr="00CF0063">
        <w:rPr>
          <w:rFonts w:asciiTheme="minorHAnsi" w:hAnsiTheme="minorHAnsi"/>
          <w:sz w:val="24"/>
          <w:szCs w:val="24"/>
        </w:rPr>
        <w:t>Assessor Jurídico Nível I</w:t>
      </w:r>
    </w:p>
    <w:sectPr w:rsidR="009816F3" w:rsidRPr="00CF0063" w:rsidSect="004C7F2E">
      <w:headerReference w:type="default" r:id="rId9"/>
      <w:footerReference w:type="default" r:id="rId10"/>
      <w:pgSz w:w="11906" w:h="16838"/>
      <w:pgMar w:top="1302" w:right="991" w:bottom="1276" w:left="1276" w:header="284" w:footer="21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416B" w:rsidRDefault="00BC416B" w:rsidP="00F50533">
      <w:pPr>
        <w:spacing w:after="0" w:line="240" w:lineRule="auto"/>
      </w:pPr>
      <w:r>
        <w:separator/>
      </w:r>
    </w:p>
  </w:endnote>
  <w:endnote w:type="continuationSeparator" w:id="0">
    <w:p w:rsidR="00BC416B" w:rsidRDefault="00BC416B" w:rsidP="00F505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16B" w:rsidRPr="002F3EAE" w:rsidRDefault="00BC416B" w:rsidP="00936CEB">
    <w:pPr>
      <w:pStyle w:val="Corpodetexto"/>
      <w:ind w:left="720"/>
      <w:jc w:val="center"/>
      <w:rPr>
        <w:rFonts w:ascii="Arial Narrow" w:hAnsi="Arial Narrow" w:cs="Arial"/>
        <w:b/>
        <w:sz w:val="18"/>
        <w:szCs w:val="18"/>
        <w:lang w:val="pt-BR"/>
      </w:rPr>
    </w:pPr>
    <w:proofErr w:type="gramStart"/>
    <w:r w:rsidRPr="002F3EAE">
      <w:rPr>
        <w:rFonts w:ascii="Arial Narrow" w:hAnsi="Arial Narrow" w:cs="Arial"/>
        <w:b/>
        <w:sz w:val="18"/>
        <w:szCs w:val="18"/>
        <w:lang w:val="pt-BR"/>
      </w:rPr>
      <w:t>R.</w:t>
    </w:r>
    <w:proofErr w:type="gramEnd"/>
    <w:r w:rsidRPr="002F3EAE">
      <w:rPr>
        <w:rFonts w:ascii="Arial Narrow" w:hAnsi="Arial Narrow" w:cs="Arial"/>
        <w:b/>
        <w:sz w:val="18"/>
        <w:szCs w:val="18"/>
        <w:lang w:val="pt-BR"/>
      </w:rPr>
      <w:t xml:space="preserve"> Benjamin </w:t>
    </w:r>
    <w:proofErr w:type="spellStart"/>
    <w:r w:rsidRPr="002F3EAE">
      <w:rPr>
        <w:rFonts w:ascii="Arial Narrow" w:hAnsi="Arial Narrow" w:cs="Arial"/>
        <w:b/>
        <w:sz w:val="18"/>
        <w:szCs w:val="18"/>
        <w:lang w:val="pt-BR"/>
      </w:rPr>
      <w:t>Margotti</w:t>
    </w:r>
    <w:proofErr w:type="spellEnd"/>
    <w:r w:rsidRPr="002F3EAE">
      <w:rPr>
        <w:rFonts w:ascii="Arial Narrow" w:hAnsi="Arial Narrow" w:cs="Arial"/>
        <w:b/>
        <w:sz w:val="18"/>
        <w:szCs w:val="18"/>
        <w:lang w:val="pt-BR"/>
      </w:rPr>
      <w:t>, 214, Centro, CEP: 89638-000, Telefone:(49) 3030-2200</w:t>
    </w:r>
  </w:p>
  <w:p w:rsidR="00BC416B" w:rsidRPr="004C332C" w:rsidRDefault="00BC416B" w:rsidP="00936CEB">
    <w:pPr>
      <w:pStyle w:val="Corpodetexto"/>
      <w:rPr>
        <w:rFonts w:ascii="Times New Roman"/>
        <w:sz w:val="20"/>
        <w:lang w:val="pt-BR"/>
      </w:rPr>
    </w:pPr>
  </w:p>
  <w:p w:rsidR="00BC416B" w:rsidRPr="006F7C8B" w:rsidRDefault="00BC416B" w:rsidP="00936CEB">
    <w:pPr>
      <w:pStyle w:val="Corpodetexto"/>
      <w:spacing w:before="19" w:line="223" w:lineRule="auto"/>
      <w:ind w:right="-1"/>
      <w:jc w:val="center"/>
      <w:rPr>
        <w:lang w:val="pt-B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416B" w:rsidRDefault="00BC416B" w:rsidP="00F50533">
      <w:pPr>
        <w:spacing w:after="0" w:line="240" w:lineRule="auto"/>
      </w:pPr>
      <w:r>
        <w:separator/>
      </w:r>
    </w:p>
  </w:footnote>
  <w:footnote w:type="continuationSeparator" w:id="0">
    <w:p w:rsidR="00BC416B" w:rsidRDefault="00BC416B" w:rsidP="00F505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16B" w:rsidRPr="004C332C" w:rsidRDefault="00BC416B" w:rsidP="00936CEB">
    <w:pPr>
      <w:pStyle w:val="Corpodetexto"/>
      <w:spacing w:after="60"/>
      <w:ind w:left="1418"/>
      <w:rPr>
        <w:rFonts w:ascii="Arial" w:hAnsi="Arial" w:cs="Arial"/>
        <w:b/>
        <w:sz w:val="26"/>
        <w:szCs w:val="26"/>
        <w:lang w:val="pt-BR"/>
      </w:rPr>
    </w:pPr>
    <w:r w:rsidRPr="002F3EAE">
      <w:rPr>
        <w:noProof/>
        <w:sz w:val="26"/>
        <w:szCs w:val="26"/>
        <w:lang w:val="pt-BR"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20498</wp:posOffset>
          </wp:positionH>
          <wp:positionV relativeFrom="paragraph">
            <wp:posOffset>-81584</wp:posOffset>
          </wp:positionV>
          <wp:extent cx="665019" cy="732131"/>
          <wp:effectExtent l="0" t="0" r="1905" b="0"/>
          <wp:wrapNone/>
          <wp:docPr id="26" name="Imagem 26" descr="https://cdn.fecam.net.br/images/municipios/brasao/90x90/varge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cdn.fecam.net.br/images/municipios/brasao/90x90/vargem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7160" cy="73448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C332C">
      <w:rPr>
        <w:rFonts w:ascii="Arial" w:hAnsi="Arial" w:cs="Arial"/>
        <w:b/>
        <w:sz w:val="26"/>
        <w:szCs w:val="26"/>
        <w:lang w:val="pt-BR"/>
      </w:rPr>
      <w:t xml:space="preserve">MUNICÍPIO DE VARGEM </w:t>
    </w:r>
  </w:p>
  <w:p w:rsidR="00BC416B" w:rsidRPr="004C332C" w:rsidRDefault="00BC416B" w:rsidP="00936CEB">
    <w:pPr>
      <w:pStyle w:val="Corpodetexto"/>
      <w:spacing w:after="60"/>
      <w:ind w:left="1418"/>
      <w:rPr>
        <w:rFonts w:ascii="Arial" w:hAnsi="Arial" w:cs="Arial"/>
        <w:b/>
        <w:sz w:val="26"/>
        <w:szCs w:val="26"/>
        <w:lang w:val="pt-BR"/>
      </w:rPr>
    </w:pPr>
    <w:r w:rsidRPr="004C332C">
      <w:rPr>
        <w:rFonts w:ascii="Arial" w:hAnsi="Arial" w:cs="Arial"/>
        <w:b/>
        <w:sz w:val="26"/>
        <w:szCs w:val="26"/>
        <w:lang w:val="pt-BR"/>
      </w:rPr>
      <w:t>ESTADO DE SANTA CATARINA</w:t>
    </w:r>
  </w:p>
  <w:p w:rsidR="00BC416B" w:rsidRPr="002F3EAE" w:rsidRDefault="00BC416B" w:rsidP="00936CEB">
    <w:pPr>
      <w:pStyle w:val="Corpodetexto"/>
      <w:spacing w:after="60"/>
      <w:ind w:left="1418"/>
      <w:rPr>
        <w:rFonts w:ascii="Times New Roman"/>
        <w:sz w:val="26"/>
        <w:szCs w:val="26"/>
      </w:rPr>
    </w:pPr>
    <w:r>
      <w:rPr>
        <w:rFonts w:ascii="Arial" w:hAnsi="Arial" w:cs="Arial"/>
        <w:b/>
        <w:sz w:val="26"/>
        <w:szCs w:val="26"/>
      </w:rPr>
      <w:t>ASSESSORIA JURÍDICA DO MUNICÍPIO</w:t>
    </w:r>
  </w:p>
  <w:p w:rsidR="00BC416B" w:rsidRDefault="00BC416B" w:rsidP="00936CEB">
    <w:pPr>
      <w:pStyle w:val="Corpodetexto"/>
      <w:rPr>
        <w:rFonts w:ascii="Times New Roman"/>
        <w:sz w:val="20"/>
      </w:rPr>
    </w:pPr>
  </w:p>
  <w:p w:rsidR="00BC416B" w:rsidRDefault="00BC416B" w:rsidP="00936CEB">
    <w:pPr>
      <w:pStyle w:val="Corpodetexto"/>
      <w:spacing w:line="20" w:lineRule="exact"/>
      <w:rPr>
        <w:rFonts w:ascii="Times New Roman"/>
        <w:sz w:val="2"/>
      </w:rPr>
    </w:pPr>
    <w:r>
      <w:rPr>
        <w:rFonts w:ascii="Times New Roman"/>
        <w:noProof/>
        <w:sz w:val="2"/>
        <w:lang w:val="pt-BR" w:eastAsia="pt-BR"/>
      </w:rPr>
    </w:r>
    <w:r w:rsidRPr="00CC6794">
      <w:rPr>
        <w:rFonts w:ascii="Times New Roman"/>
        <w:noProof/>
        <w:sz w:val="2"/>
        <w:lang w:val="pt-BR" w:eastAsia="pt-BR"/>
      </w:rPr>
      <w:pict>
        <v:group id="Group 4" o:spid="_x0000_s4097" style="width:453.4pt;height:3.55pt;mso-position-horizontal-relative:char;mso-position-vertical-relative:line" coordsize="9638,20">
          <v:line id="Line 5" o:spid="_x0000_s4098" style="position:absolute;visibility:visible" from="0,10" to="9638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" strokecolor="#231f20" strokeweight="1pt"/>
          <w10:wrap type="none"/>
          <w10:anchorlock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C745A"/>
    <w:multiLevelType w:val="multilevel"/>
    <w:tmpl w:val="DB4803D4"/>
    <w:lvl w:ilvl="0">
      <w:start w:val="12"/>
      <w:numFmt w:val="decimal"/>
      <w:lvlText w:val="Art. %1 "/>
      <w:lvlJc w:val="left"/>
      <w:pPr>
        <w:tabs>
          <w:tab w:val="num" w:pos="0"/>
        </w:tabs>
        <w:ind w:left="0" w:firstLine="0"/>
      </w:pPr>
      <w:rPr>
        <w:rFonts w:ascii="Calibri" w:hAnsi="Calibri" w:hint="default"/>
        <w:b/>
        <w:i/>
        <w:sz w:val="22"/>
        <w:szCs w:val="22"/>
      </w:rPr>
    </w:lvl>
    <w:lvl w:ilvl="1">
      <w:start w:val="1"/>
      <w:numFmt w:val="ordinal"/>
      <w:lvlText w:val="§ %2 -"/>
      <w:lvlJc w:val="left"/>
      <w:pPr>
        <w:tabs>
          <w:tab w:val="num" w:pos="0"/>
        </w:tabs>
        <w:ind w:left="0" w:firstLine="0"/>
      </w:pPr>
      <w:rPr>
        <w:rFonts w:ascii="Calibri" w:hAnsi="Calibri" w:hint="default"/>
        <w:b/>
        <w:i/>
        <w:sz w:val="24"/>
        <w:szCs w:val="24"/>
      </w:rPr>
    </w:lvl>
    <w:lvl w:ilvl="2">
      <w:start w:val="1"/>
      <w:numFmt w:val="upperRoman"/>
      <w:lvlText w:val="%3 -"/>
      <w:lvlJc w:val="left"/>
      <w:pPr>
        <w:tabs>
          <w:tab w:val="num" w:pos="0"/>
        </w:tabs>
        <w:ind w:left="0" w:firstLine="0"/>
      </w:pPr>
      <w:rPr>
        <w:rFonts w:ascii="Calibri" w:hAnsi="Calibri" w:hint="default"/>
        <w:b/>
        <w:i/>
        <w:sz w:val="22"/>
        <w:szCs w:val="22"/>
      </w:rPr>
    </w:lvl>
    <w:lvl w:ilvl="3">
      <w:start w:val="1"/>
      <w:numFmt w:val="none"/>
      <w:suff w:val="nothing"/>
      <w:lvlText w:val="Parágrafo único -"/>
      <w:lvlJc w:val="left"/>
      <w:pPr>
        <w:ind w:left="0" w:firstLine="0"/>
      </w:pPr>
      <w:rPr>
        <w:rFonts w:hint="default"/>
        <w:b/>
        <w:i/>
      </w:rPr>
    </w:lvl>
    <w:lvl w:ilvl="4">
      <w:start w:val="1"/>
      <w:numFmt w:val="upperRoman"/>
      <w:lvlText w:val="%5 -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/>
      </w:rPr>
    </w:lvl>
    <w:lvl w:ilvl="5">
      <w:start w:val="1"/>
      <w:numFmt w:val="lowerLetter"/>
      <w:lvlText w:val="%6 -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/>
      </w:rPr>
    </w:lvl>
    <w:lvl w:ilvl="6">
      <w:start w:val="1"/>
      <w:numFmt w:val="decimal"/>
      <w:lvlText w:val="%3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3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3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1E486792"/>
    <w:multiLevelType w:val="hybridMultilevel"/>
    <w:tmpl w:val="3744B450"/>
    <w:lvl w:ilvl="0" w:tplc="198089BA">
      <w:start w:val="10"/>
      <w:numFmt w:val="bullet"/>
      <w:lvlText w:val=""/>
      <w:lvlJc w:val="left"/>
      <w:pPr>
        <w:ind w:left="1778" w:hanging="360"/>
      </w:pPr>
      <w:rPr>
        <w:rFonts w:ascii="Wingdings" w:eastAsia="Calibri" w:hAnsi="Wingdings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">
    <w:nsid w:val="217C42DB"/>
    <w:multiLevelType w:val="hybridMultilevel"/>
    <w:tmpl w:val="CD8E5800"/>
    <w:lvl w:ilvl="0" w:tplc="5638F6A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>
    <w:nsid w:val="620118E5"/>
    <w:multiLevelType w:val="hybridMultilevel"/>
    <w:tmpl w:val="C262CFD6"/>
    <w:lvl w:ilvl="0" w:tplc="B05C3F82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>
    <w:nsid w:val="683D2B7C"/>
    <w:multiLevelType w:val="hybridMultilevel"/>
    <w:tmpl w:val="88EC3812"/>
    <w:lvl w:ilvl="0" w:tplc="E15E723A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>
    <w:nsid w:val="71F04B66"/>
    <w:multiLevelType w:val="hybridMultilevel"/>
    <w:tmpl w:val="38242CEE"/>
    <w:lvl w:ilvl="0" w:tplc="C25E192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F50533"/>
    <w:rsid w:val="000015CB"/>
    <w:rsid w:val="0001112F"/>
    <w:rsid w:val="00011F85"/>
    <w:rsid w:val="000327E7"/>
    <w:rsid w:val="00035FEB"/>
    <w:rsid w:val="0008184E"/>
    <w:rsid w:val="000E21C7"/>
    <w:rsid w:val="000F151F"/>
    <w:rsid w:val="00112BF5"/>
    <w:rsid w:val="0011744D"/>
    <w:rsid w:val="00126159"/>
    <w:rsid w:val="001311F7"/>
    <w:rsid w:val="00136DB1"/>
    <w:rsid w:val="0014297A"/>
    <w:rsid w:val="00150EFC"/>
    <w:rsid w:val="00154006"/>
    <w:rsid w:val="00161386"/>
    <w:rsid w:val="00163458"/>
    <w:rsid w:val="00173B46"/>
    <w:rsid w:val="00176047"/>
    <w:rsid w:val="00182CE3"/>
    <w:rsid w:val="001844CC"/>
    <w:rsid w:val="001A449B"/>
    <w:rsid w:val="001A5C03"/>
    <w:rsid w:val="001D2556"/>
    <w:rsid w:val="001D3028"/>
    <w:rsid w:val="001E70BF"/>
    <w:rsid w:val="001F490F"/>
    <w:rsid w:val="00214716"/>
    <w:rsid w:val="002225F7"/>
    <w:rsid w:val="00237B54"/>
    <w:rsid w:val="00254783"/>
    <w:rsid w:val="002551C3"/>
    <w:rsid w:val="00263585"/>
    <w:rsid w:val="00271799"/>
    <w:rsid w:val="002775F1"/>
    <w:rsid w:val="00281365"/>
    <w:rsid w:val="002863E6"/>
    <w:rsid w:val="00297B1F"/>
    <w:rsid w:val="002A6C8E"/>
    <w:rsid w:val="002B3CD7"/>
    <w:rsid w:val="002B62D1"/>
    <w:rsid w:val="002C1495"/>
    <w:rsid w:val="002F55CC"/>
    <w:rsid w:val="002F5BF3"/>
    <w:rsid w:val="00302C9A"/>
    <w:rsid w:val="003044D6"/>
    <w:rsid w:val="0030670C"/>
    <w:rsid w:val="00331777"/>
    <w:rsid w:val="00336E07"/>
    <w:rsid w:val="00341B35"/>
    <w:rsid w:val="00350185"/>
    <w:rsid w:val="00351D13"/>
    <w:rsid w:val="003866EF"/>
    <w:rsid w:val="003875BF"/>
    <w:rsid w:val="0039339A"/>
    <w:rsid w:val="003A2C94"/>
    <w:rsid w:val="003A4EB3"/>
    <w:rsid w:val="003B27AD"/>
    <w:rsid w:val="003B7D8F"/>
    <w:rsid w:val="003D0920"/>
    <w:rsid w:val="003D6E23"/>
    <w:rsid w:val="003E3658"/>
    <w:rsid w:val="003E491D"/>
    <w:rsid w:val="003F40B4"/>
    <w:rsid w:val="00407055"/>
    <w:rsid w:val="00421A06"/>
    <w:rsid w:val="00441E76"/>
    <w:rsid w:val="00467083"/>
    <w:rsid w:val="0047211B"/>
    <w:rsid w:val="0047643C"/>
    <w:rsid w:val="00482C33"/>
    <w:rsid w:val="00486EE5"/>
    <w:rsid w:val="004B4245"/>
    <w:rsid w:val="004C0D4B"/>
    <w:rsid w:val="004C4D2F"/>
    <w:rsid w:val="004C7F2E"/>
    <w:rsid w:val="004D4D12"/>
    <w:rsid w:val="004E5A48"/>
    <w:rsid w:val="004F766C"/>
    <w:rsid w:val="0051242C"/>
    <w:rsid w:val="0051337D"/>
    <w:rsid w:val="00554325"/>
    <w:rsid w:val="00561651"/>
    <w:rsid w:val="00572DAF"/>
    <w:rsid w:val="005731E6"/>
    <w:rsid w:val="005B5B07"/>
    <w:rsid w:val="005C30BD"/>
    <w:rsid w:val="005D011B"/>
    <w:rsid w:val="005E3C9F"/>
    <w:rsid w:val="005F7EED"/>
    <w:rsid w:val="0064107E"/>
    <w:rsid w:val="00641442"/>
    <w:rsid w:val="006464CD"/>
    <w:rsid w:val="00646A9D"/>
    <w:rsid w:val="00672B8E"/>
    <w:rsid w:val="006943AE"/>
    <w:rsid w:val="006A25CC"/>
    <w:rsid w:val="006B11F3"/>
    <w:rsid w:val="006E1F02"/>
    <w:rsid w:val="006F4F7D"/>
    <w:rsid w:val="006F5741"/>
    <w:rsid w:val="00711A1F"/>
    <w:rsid w:val="00712224"/>
    <w:rsid w:val="007429F9"/>
    <w:rsid w:val="00751ACE"/>
    <w:rsid w:val="007549DC"/>
    <w:rsid w:val="00756E24"/>
    <w:rsid w:val="00774910"/>
    <w:rsid w:val="00776BB3"/>
    <w:rsid w:val="007A315D"/>
    <w:rsid w:val="007B2354"/>
    <w:rsid w:val="007B53C3"/>
    <w:rsid w:val="007B6344"/>
    <w:rsid w:val="007E3B35"/>
    <w:rsid w:val="007E56EB"/>
    <w:rsid w:val="0080100D"/>
    <w:rsid w:val="00803432"/>
    <w:rsid w:val="00811BE9"/>
    <w:rsid w:val="00827837"/>
    <w:rsid w:val="00830C89"/>
    <w:rsid w:val="00845EC2"/>
    <w:rsid w:val="00847843"/>
    <w:rsid w:val="008539C9"/>
    <w:rsid w:val="00865267"/>
    <w:rsid w:val="008652C7"/>
    <w:rsid w:val="00877800"/>
    <w:rsid w:val="008A506A"/>
    <w:rsid w:val="008B455E"/>
    <w:rsid w:val="008E0D88"/>
    <w:rsid w:val="008E2883"/>
    <w:rsid w:val="008F347E"/>
    <w:rsid w:val="0090317C"/>
    <w:rsid w:val="00920215"/>
    <w:rsid w:val="00923F5D"/>
    <w:rsid w:val="00936918"/>
    <w:rsid w:val="00936CEB"/>
    <w:rsid w:val="00950456"/>
    <w:rsid w:val="009776AE"/>
    <w:rsid w:val="009816F3"/>
    <w:rsid w:val="009C5454"/>
    <w:rsid w:val="009D6BE2"/>
    <w:rsid w:val="009F4DB4"/>
    <w:rsid w:val="00A0385C"/>
    <w:rsid w:val="00A12E08"/>
    <w:rsid w:val="00A234B3"/>
    <w:rsid w:val="00A41984"/>
    <w:rsid w:val="00A45244"/>
    <w:rsid w:val="00A47E46"/>
    <w:rsid w:val="00A60E3D"/>
    <w:rsid w:val="00A7379E"/>
    <w:rsid w:val="00A7455A"/>
    <w:rsid w:val="00A80A5B"/>
    <w:rsid w:val="00A82470"/>
    <w:rsid w:val="00A83CA0"/>
    <w:rsid w:val="00A85DB7"/>
    <w:rsid w:val="00A974DE"/>
    <w:rsid w:val="00AA685B"/>
    <w:rsid w:val="00AB1B38"/>
    <w:rsid w:val="00AD50CF"/>
    <w:rsid w:val="00AF23A3"/>
    <w:rsid w:val="00B24B63"/>
    <w:rsid w:val="00B329BF"/>
    <w:rsid w:val="00B71F01"/>
    <w:rsid w:val="00B82AEB"/>
    <w:rsid w:val="00B87204"/>
    <w:rsid w:val="00BA3AE2"/>
    <w:rsid w:val="00BC0B14"/>
    <w:rsid w:val="00BC416B"/>
    <w:rsid w:val="00BE79CC"/>
    <w:rsid w:val="00C06D5E"/>
    <w:rsid w:val="00C30F8D"/>
    <w:rsid w:val="00C5449E"/>
    <w:rsid w:val="00CA4ACB"/>
    <w:rsid w:val="00CC6794"/>
    <w:rsid w:val="00CE6770"/>
    <w:rsid w:val="00CF0063"/>
    <w:rsid w:val="00CF11DD"/>
    <w:rsid w:val="00D04A8F"/>
    <w:rsid w:val="00D1219B"/>
    <w:rsid w:val="00D12987"/>
    <w:rsid w:val="00D13BF6"/>
    <w:rsid w:val="00D158D2"/>
    <w:rsid w:val="00D17E1F"/>
    <w:rsid w:val="00D40A70"/>
    <w:rsid w:val="00D40D66"/>
    <w:rsid w:val="00D52253"/>
    <w:rsid w:val="00D562FC"/>
    <w:rsid w:val="00D7427D"/>
    <w:rsid w:val="00DB2AAC"/>
    <w:rsid w:val="00DC248C"/>
    <w:rsid w:val="00E172FF"/>
    <w:rsid w:val="00E37955"/>
    <w:rsid w:val="00E447F6"/>
    <w:rsid w:val="00E519AE"/>
    <w:rsid w:val="00E52A62"/>
    <w:rsid w:val="00E711E8"/>
    <w:rsid w:val="00E81C8B"/>
    <w:rsid w:val="00E90206"/>
    <w:rsid w:val="00EA32E9"/>
    <w:rsid w:val="00EA3AD5"/>
    <w:rsid w:val="00EA3B4F"/>
    <w:rsid w:val="00EB1E2F"/>
    <w:rsid w:val="00ED0C69"/>
    <w:rsid w:val="00EF1039"/>
    <w:rsid w:val="00EF13D2"/>
    <w:rsid w:val="00EF18AE"/>
    <w:rsid w:val="00EF1C40"/>
    <w:rsid w:val="00EF2F4B"/>
    <w:rsid w:val="00F113D5"/>
    <w:rsid w:val="00F15252"/>
    <w:rsid w:val="00F50533"/>
    <w:rsid w:val="00F53EEF"/>
    <w:rsid w:val="00F62FDD"/>
    <w:rsid w:val="00FB65DF"/>
    <w:rsid w:val="00FD0660"/>
    <w:rsid w:val="00FD0E7F"/>
    <w:rsid w:val="00FD6226"/>
    <w:rsid w:val="00FD7248"/>
    <w:rsid w:val="00FF22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533"/>
    <w:pPr>
      <w:spacing w:after="200" w:line="276" w:lineRule="auto"/>
    </w:pPr>
    <w:rPr>
      <w:rFonts w:ascii="Calibri" w:eastAsia="Calibri" w:hAnsi="Calibri" w:cs="Calibri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F50533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sz w:val="24"/>
      <w:szCs w:val="24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F50533"/>
    <w:rPr>
      <w:rFonts w:ascii="Trebuchet MS" w:eastAsia="Trebuchet MS" w:hAnsi="Trebuchet MS" w:cs="Trebuchet MS"/>
      <w:sz w:val="24"/>
      <w:szCs w:val="24"/>
      <w:lang w:val="en-US"/>
    </w:rPr>
  </w:style>
  <w:style w:type="table" w:styleId="Tabelacomgrade">
    <w:name w:val="Table Grid"/>
    <w:basedOn w:val="Tabelanormal"/>
    <w:rsid w:val="00F50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notaderodap">
    <w:name w:val="footnote text"/>
    <w:basedOn w:val="Normal"/>
    <w:link w:val="TextodenotaderodapChar"/>
    <w:uiPriority w:val="99"/>
    <w:unhideWhenUsed/>
    <w:rsid w:val="00F50533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F50533"/>
    <w:rPr>
      <w:rFonts w:ascii="Calibri" w:eastAsia="Calibri" w:hAnsi="Calibri" w:cs="Calibri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50533"/>
    <w:rPr>
      <w:vertAlign w:val="superscript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F50533"/>
    <w:pPr>
      <w:spacing w:after="120"/>
      <w:ind w:left="283"/>
    </w:pPr>
    <w:rPr>
      <w:rFonts w:asciiTheme="minorHAnsi" w:eastAsiaTheme="minorHAnsi" w:hAnsiTheme="minorHAnsi" w:cstheme="minorBidi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F50533"/>
  </w:style>
  <w:style w:type="character" w:styleId="Hyperlink">
    <w:name w:val="Hyperlink"/>
    <w:basedOn w:val="Fontepargpadro"/>
    <w:uiPriority w:val="99"/>
    <w:unhideWhenUsed/>
    <w:rsid w:val="00482C33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99"/>
    <w:qFormat/>
    <w:rsid w:val="00173B46"/>
    <w:pPr>
      <w:ind w:left="720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540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4006"/>
    <w:rPr>
      <w:rFonts w:ascii="Tahoma" w:eastAsia="Calibri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36C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36CEB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936C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36CEB"/>
    <w:rPr>
      <w:rFonts w:ascii="Calibri" w:eastAsia="Calibri" w:hAnsi="Calibri" w:cs="Calibri"/>
    </w:rPr>
  </w:style>
  <w:style w:type="paragraph" w:styleId="NormalWeb">
    <w:name w:val="Normal (Web)"/>
    <w:basedOn w:val="Normal"/>
    <w:uiPriority w:val="99"/>
    <w:rsid w:val="004C7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uiPriority w:val="99"/>
    <w:rsid w:val="004C7F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rsid w:val="0011744D"/>
    <w:pPr>
      <w:suppressAutoHyphens/>
      <w:overflowPunct w:val="0"/>
      <w:autoSpaceDN w:val="0"/>
      <w:spacing w:after="0" w:line="240" w:lineRule="auto"/>
      <w:textAlignment w:val="baseline"/>
    </w:pPr>
    <w:rPr>
      <w:rFonts w:ascii="Times New Roman" w:eastAsia="SimSun" w:hAnsi="Times New Roman" w:cs="Mangal"/>
      <w:color w:val="00000A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21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709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02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306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69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5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45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1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4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8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34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0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0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2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2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8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50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6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9307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360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938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37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4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52E1E0-9B63-4D36-A860-BE2ECBFD0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504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Dany Willian Castilhos</dc:creator>
  <cp:lastModifiedBy>Vinicius</cp:lastModifiedBy>
  <cp:revision>2</cp:revision>
  <cp:lastPrinted>2020-03-10T18:19:00Z</cp:lastPrinted>
  <dcterms:created xsi:type="dcterms:W3CDTF">2024-04-11T14:59:00Z</dcterms:created>
  <dcterms:modified xsi:type="dcterms:W3CDTF">2024-04-11T14:59:00Z</dcterms:modified>
</cp:coreProperties>
</file>